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/>
        <w:jc w:val="center"/>
        <w:rPr>
          <w:sz w:val="24"/>
          <w:highlight w:val="none"/>
        </w:rPr>
      </w:pPr>
      <w:r>
        <w:rPr>
          <w:sz w:val="24"/>
        </w:rPr>
        <w:t xml:space="preserve">Утверждена</w:t>
      </w:r>
      <w:r/>
    </w:p>
    <w:p>
      <w:pPr>
        <w:ind w:left="4536"/>
        <w:jc w:val="right"/>
        <w:rPr>
          <w:sz w:val="24"/>
          <w:highlight w:val="none"/>
        </w:rPr>
      </w:pPr>
      <w:r>
        <w:rPr>
          <w:sz w:val="24"/>
          <w:highlight w:val="none"/>
        </w:rPr>
        <w:t xml:space="preserve">распоряжением департамента имущественных</w:t>
      </w:r>
      <w:r>
        <w:rPr>
          <w:sz w:val="24"/>
          <w:highlight w:val="none"/>
        </w:rPr>
      </w:r>
      <w:r/>
    </w:p>
    <w:p>
      <w:pPr>
        <w:ind w:left="4536"/>
        <w:jc w:val="center"/>
        <w:rPr>
          <w:sz w:val="24"/>
          <w:highlight w:val="none"/>
        </w:rPr>
      </w:pPr>
      <w:r>
        <w:rPr>
          <w:sz w:val="24"/>
          <w:highlight w:val="none"/>
        </w:rPr>
        <w:t xml:space="preserve">и земельных отношений администрации</w:t>
      </w:r>
      <w:r>
        <w:rPr>
          <w:sz w:val="24"/>
          <w:highlight w:val="none"/>
        </w:rPr>
      </w:r>
      <w:r/>
    </w:p>
    <w:p>
      <w:pPr>
        <w:ind w:left="4536"/>
        <w:jc w:val="center"/>
        <w:rPr>
          <w:sz w:val="24"/>
          <w:highlight w:val="none"/>
        </w:rPr>
      </w:pPr>
      <w:r>
        <w:rPr>
          <w:sz w:val="24"/>
          <w:highlight w:val="none"/>
        </w:rPr>
        <w:t xml:space="preserve">Старооскольского городского округа</w:t>
      </w:r>
      <w:r>
        <w:rPr>
          <w:sz w:val="24"/>
          <w:highlight w:val="none"/>
        </w:rPr>
      </w:r>
      <w:r/>
    </w:p>
    <w:p>
      <w:pPr>
        <w:ind w:left="4536"/>
        <w:jc w:val="center"/>
        <w:rPr>
          <w:sz w:val="24"/>
          <w:u w:val="none"/>
        </w:rPr>
      </w:pPr>
      <w:r>
        <w:rPr>
          <w:sz w:val="24"/>
          <w:highlight w:val="none"/>
        </w:rPr>
        <w:t xml:space="preserve">от «</w:t>
      </w:r>
      <w:r>
        <w:rPr>
          <w:sz w:val="24"/>
          <w:highlight w:val="none"/>
          <w:u w:val="single"/>
        </w:rPr>
        <w:t xml:space="preserve">18</w:t>
      </w:r>
      <w:r>
        <w:rPr>
          <w:sz w:val="24"/>
          <w:highlight w:val="none"/>
        </w:rPr>
        <w:t xml:space="preserve">» </w:t>
      </w:r>
      <w:r>
        <w:rPr>
          <w:sz w:val="24"/>
          <w:highlight w:val="none"/>
          <w:u w:val="single"/>
        </w:rPr>
        <w:t xml:space="preserve">декабря </w:t>
      </w:r>
      <w:r>
        <w:rPr>
          <w:sz w:val="24"/>
          <w:highlight w:val="none"/>
          <w:u w:val="single"/>
        </w:rPr>
        <w:t xml:space="preserve">2025 г. №</w:t>
      </w:r>
      <w:r>
        <w:rPr>
          <w:sz w:val="24"/>
          <w:highlight w:val="none"/>
          <w:u w:val="none"/>
        </w:rPr>
        <w:t xml:space="preserve"> </w:t>
      </w:r>
      <w:r>
        <w:rPr>
          <w:sz w:val="24"/>
          <w:highlight w:val="none"/>
          <w:u w:val="single"/>
        </w:rPr>
        <w:t xml:space="preserve">1718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</w:t>
      </w:r>
      <w:r/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Старооскольского городского округа на 2026 год </w:t>
      </w:r>
      <w:r/>
    </w:p>
    <w:p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1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Настоящая  программа профилактики </w:t>
      </w:r>
      <w:r>
        <w:rPr>
          <w:sz w:val="26"/>
          <w:szCs w:val="26"/>
        </w:rPr>
        <w:t xml:space="preserve">рисков причинения вреда (ущерба) охраняемым законом ценностям (далее –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</w:t>
      </w:r>
      <w:r>
        <w:rPr>
          <w:sz w:val="26"/>
          <w:szCs w:val="26"/>
        </w:rPr>
        <w:t xml:space="preserve">ивается в рамках осуществления муниципального земельного контроля на территории Старооскольского городского округа.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Правовыми основаниями разработки Программы в области муниципального земельного контроля на территории Старооскольского городского округа  яв</w:t>
      </w:r>
      <w:r>
        <w:rPr>
          <w:sz w:val="26"/>
          <w:szCs w:val="26"/>
        </w:rPr>
        <w:t xml:space="preserve">ляются: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Федеральный закон от 06.10.2003 № 131-ФЗ «Об общих принципах организации местного самоуправления в Российской Федерации»;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Федеральный закон от 31.07.2020 № 248-ФЗ «О государственном контроле (надзоре) и муниципальном контроле в Российской Федер</w:t>
      </w:r>
      <w:r>
        <w:rPr>
          <w:sz w:val="26"/>
          <w:szCs w:val="26"/>
        </w:rPr>
        <w:t xml:space="preserve">ации»;</w:t>
      </w:r>
      <w:r/>
    </w:p>
    <w:p>
      <w:pPr>
        <w:pStyle w:val="908"/>
        <w:ind w:firstLine="709"/>
        <w:jc w:val="both"/>
      </w:pPr>
      <w:r>
        <w:t xml:space="preserve">- Земельный кодекс РФ;</w:t>
      </w:r>
      <w:r/>
    </w:p>
    <w:p>
      <w:pPr>
        <w:pStyle w:val="908"/>
        <w:ind w:firstLine="709"/>
        <w:jc w:val="both"/>
      </w:pPr>
      <w:r>
        <w:t xml:space="preserve">- 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r/>
    </w:p>
    <w:p>
      <w:pPr>
        <w:pStyle w:val="908"/>
        <w:ind w:firstLine="708"/>
        <w:jc w:val="center"/>
      </w:pPr>
      <w:r/>
      <w:r/>
    </w:p>
    <w:p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  <w:lang w:val="en-US" w:eastAsia="ru-RU"/>
        </w:rPr>
        <w:t xml:space="preserve">I</w:t>
      </w:r>
      <w:r>
        <w:rPr>
          <w:b/>
          <w:bCs/>
          <w:sz w:val="26"/>
          <w:szCs w:val="26"/>
          <w:lang w:eastAsia="ru-RU"/>
        </w:rPr>
        <w:t xml:space="preserve">.</w:t>
      </w:r>
      <w:r>
        <w:rPr>
          <w:b/>
          <w:bCs/>
          <w:sz w:val="26"/>
          <w:szCs w:val="26"/>
          <w:lang w:eastAsia="ru-RU"/>
        </w:rPr>
        <w:t xml:space="preserve"> Анализ текущего состояния осуществления</w:t>
      </w:r>
      <w:r/>
    </w:p>
    <w:p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 xml:space="preserve">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/>
    </w:p>
    <w:p>
      <w:pPr>
        <w:jc w:val="both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</w:r>
      <w:r/>
    </w:p>
    <w:p>
      <w:pPr>
        <w:ind w:firstLine="709"/>
        <w:jc w:val="both"/>
        <w:rPr>
          <w:color w:val="000000"/>
          <w:sz w:val="26"/>
          <w:szCs w:val="26"/>
          <w:highlight w:val="none"/>
          <w:lang w:eastAsia="ru-RU"/>
        </w:rPr>
      </w:pPr>
      <w:r>
        <w:rPr>
          <w:sz w:val="26"/>
          <w:szCs w:val="26"/>
          <w:lang w:eastAsia="ru-RU"/>
        </w:rPr>
        <w:t xml:space="preserve">1. Муниципальный земельный контроль </w:t>
      </w:r>
      <w:r>
        <w:rPr>
          <w:sz w:val="26"/>
          <w:szCs w:val="26"/>
          <w:lang w:eastAsia="ru-RU"/>
        </w:rPr>
        <w:t xml:space="preserve">на территории Старооскольского городского округа осуществляется администрацией Старооскольского</w:t>
      </w:r>
      <w:r>
        <w:rPr>
          <w:color w:val="000000"/>
          <w:sz w:val="26"/>
          <w:szCs w:val="26"/>
          <w:lang w:eastAsia="ru-RU"/>
        </w:rPr>
        <w:t xml:space="preserve"> городского округа в лице департамента имущественных и земельных отношений администрации Старооскольского городского округа (далее - Контрольный орган).</w:t>
      </w:r>
      <w:r/>
    </w:p>
    <w:p>
      <w:pPr>
        <w:ind w:firstLine="709"/>
        <w:jc w:val="both"/>
        <w:rPr>
          <w:color w:val="000000"/>
          <w:sz w:val="26"/>
          <w:szCs w:val="26"/>
          <w:highlight w:val="none"/>
          <w:lang w:eastAsia="ru-RU"/>
        </w:rPr>
      </w:pPr>
      <w:r>
        <w:rPr>
          <w:color w:val="000000"/>
          <w:sz w:val="26"/>
          <w:szCs w:val="26"/>
          <w:highlight w:val="none"/>
          <w:lang w:eastAsia="ru-RU"/>
        </w:rPr>
        <w:t xml:space="preserve">Муниципальный земельный контроль - деятельность, направленная на предупреждение, выявление и пресечение нарушений обязательных требований земельного законодательства, осуществляемая в</w:t>
      </w:r>
      <w:r>
        <w:rPr>
          <w:color w:val="000000"/>
          <w:sz w:val="26"/>
          <w:szCs w:val="26"/>
          <w:highlight w:val="none"/>
          <w:lang w:eastAsia="ru-RU"/>
        </w:rPr>
        <w:t xml:space="preserve"> пределах полномочий посредством профилактики нарушений обязательных требований, оценки соблюдения юридическими лицами, индивидуальными предпринимателями и гражданами обязательных требований, выявления нарушений обязательных требований, принятия предусмотр</w:t>
      </w:r>
      <w:r>
        <w:rPr>
          <w:color w:val="000000"/>
          <w:sz w:val="26"/>
          <w:szCs w:val="26"/>
          <w:highlight w:val="none"/>
          <w:lang w:eastAsia="ru-RU"/>
        </w:rPr>
        <w:t xml:space="preserve">енных законодательством Российской Федерации мер по пресечению выявленных нарушений обязательных требований земельного законодательства, устранению их последствий и (или) восстановлению правового положения, существовавшего до возникновения таких нарушений.</w:t>
      </w:r>
      <w:r>
        <w:rPr>
          <w:color w:val="000000"/>
          <w:sz w:val="26"/>
          <w:szCs w:val="26"/>
          <w:highlight w:val="none"/>
          <w:lang w:eastAsia="ru-RU"/>
        </w:rPr>
      </w:r>
      <w:r/>
    </w:p>
    <w:p>
      <w:pPr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highlight w:val="none"/>
          <w:lang w:eastAsia="ru-RU"/>
        </w:rPr>
      </w:r>
      <w:r>
        <w:rPr>
          <w:color w:val="000000"/>
          <w:sz w:val="26"/>
          <w:szCs w:val="26"/>
          <w:highlight w:val="none"/>
          <w:lang w:eastAsia="ru-RU"/>
        </w:rPr>
      </w:r>
      <w:r/>
    </w:p>
    <w:p>
      <w:pPr>
        <w:pStyle w:val="908"/>
        <w:ind w:firstLine="709"/>
        <w:jc w:val="both"/>
      </w:pPr>
      <w:r>
        <w:t xml:space="preserve">2. </w:t>
      </w:r>
      <w:r>
        <w:rPr>
          <w:color w:val="000000"/>
        </w:rPr>
        <w:t xml:space="preserve">Объек</w:t>
      </w:r>
      <w:r>
        <w:rPr>
          <w:color w:val="000000"/>
        </w:rPr>
        <w:t xml:space="preserve">тами муниципального земельного контроля (далее – объект контроля) являются: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  <w:t xml:space="preserve">- де</w:t>
      </w:r>
      <w:r>
        <w:rPr>
          <w:color w:val="000000"/>
        </w:rPr>
        <w:t xml:space="preserve">ятельность, действие (бездействие) контролируемых лиц в сфере использования и охраны земель,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  <w:t xml:space="preserve">- резуль</w:t>
      </w:r>
      <w:r>
        <w:rPr>
          <w:color w:val="000000"/>
        </w:rPr>
        <w:t xml:space="preserve">таты деятельности контролируемых лиц, в том числе работы и услуги, к которым предъявляются обязательные требования;</w:t>
      </w:r>
      <w:r/>
    </w:p>
    <w:p>
      <w:pPr>
        <w:pStyle w:val="908"/>
        <w:ind w:firstLine="709"/>
        <w:jc w:val="both"/>
      </w:pPr>
      <w:r>
        <w:rPr>
          <w:color w:val="000000"/>
        </w:rPr>
        <w:t xml:space="preserve">- объекты земельных отношений (земли, земельные участки или части земельных участков), расположенные в границах Старооскольского городского </w:t>
      </w:r>
      <w:r>
        <w:rPr>
          <w:color w:val="000000"/>
        </w:rPr>
        <w:t xml:space="preserve">округа.</w:t>
      </w:r>
      <w:r/>
    </w:p>
    <w:p>
      <w:pPr>
        <w:pStyle w:val="908"/>
        <w:ind w:firstLine="709"/>
        <w:jc w:val="both"/>
        <w:rPr>
          <w:color w:val="000000"/>
        </w:rPr>
      </w:pPr>
      <w:r>
        <w:t xml:space="preserve">3. Контролируемыми лицами при осуществлении </w:t>
      </w:r>
      <w:r>
        <w:rPr>
          <w:color w:val="000000"/>
        </w:rPr>
        <w:t xml:space="preserve">муниципального земельного контроля являются: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  <w:t xml:space="preserve">- юридические лица; 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  <w:t xml:space="preserve">- индивидуальные предприниматели;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  <w:t xml:space="preserve">- граждане. </w:t>
      </w:r>
      <w:r/>
    </w:p>
    <w:p>
      <w:pPr>
        <w:ind w:firstLine="692"/>
        <w:jc w:val="both"/>
        <w:shd w:val="clear" w:fill="FFFFFF" w:color="auto"/>
        <w:rPr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 xml:space="preserve">4. </w:t>
      </w:r>
      <w:r>
        <w:rPr>
          <w:sz w:val="26"/>
          <w:szCs w:val="26"/>
        </w:rPr>
        <w:t xml:space="preserve">На основании Постановления Правительства Российской Федерации                      от 10 марта 2022 года № 336 «Об особенностях организации и осуществления</w:t>
      </w:r>
      <w:r>
        <w:rPr>
          <w:sz w:val="26"/>
          <w:szCs w:val="26"/>
        </w:rPr>
        <w:t xml:space="preserve"> государственного контроля (надзора), муниципального контроля» установлен мораторий на проведение контрольных ме</w:t>
      </w:r>
      <w:r>
        <w:rPr>
          <w:sz w:val="26"/>
          <w:szCs w:val="26"/>
        </w:rPr>
        <w:t xml:space="preserve">роприятий, за исключением внеплановых мероприятий, основанием для проведения которых является угроза причинения вреда жизни и тяжкого вреда здоровью граждан, непосредственной угрозы возникновения чрезвычайных ситуаций природного или техногенного характера.</w:t>
      </w:r>
      <w:r>
        <w:rPr>
          <w:sz w:val="26"/>
          <w:szCs w:val="26"/>
        </w:rPr>
      </w:r>
      <w:r/>
    </w:p>
    <w:p>
      <w:pPr>
        <w:pStyle w:val="915"/>
        <w:ind w:firstLine="603"/>
        <w:jc w:val="both"/>
        <w:spacing w:after="0" w:afterAutospacing="0" w:before="0" w:beforeAutospacing="0"/>
      </w:pPr>
      <w:r>
        <w:rPr>
          <w:sz w:val="26"/>
          <w:szCs w:val="26"/>
        </w:rPr>
        <w:t xml:space="preserve">Постановлением Правительства Российской Федерации от 11 сентября 2024 года № 1234 «О внесении изменений в постановление Правительства Российской Федерации от 10 марта 2022 года № 336», установлены о</w:t>
      </w:r>
      <w:r>
        <w:rPr>
          <w:sz w:val="26"/>
          <w:szCs w:val="26"/>
        </w:rPr>
        <w:t xml:space="preserve">граничения на проведение контрольных (надзорных) мероприятий (далее - КНМ) на территории Белгородской области. Положения данного нормативного правового акта распространяются на все виды КНМ, в том числе проводимые без взаимодействия с контролируемым лицом.</w:t>
      </w:r>
      <w:r>
        <w:rPr>
          <w:sz w:val="26"/>
          <w:szCs w:val="26"/>
        </w:rPr>
      </w:r>
      <w:r/>
    </w:p>
    <w:p>
      <w:pPr>
        <w:pStyle w:val="915"/>
        <w:ind w:firstLine="603"/>
        <w:jc w:val="both"/>
        <w:spacing w:after="0" w:afterAutospacing="0" w:before="0" w:beforeAutospacing="0"/>
        <w:rPr>
          <w:highlight w:val="none"/>
        </w:rPr>
      </w:pPr>
      <w:r>
        <w:rPr>
          <w:sz w:val="26"/>
          <w:szCs w:val="26"/>
        </w:rPr>
        <w:t xml:space="preserve">На основании изложенного, реализация контрольными (надзорными) органами любых КНМ, в том числе проводимых без взаимодействия        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с контролируемым лицом,  в соответствии с ч. 3 ст. 56 Федерального закона                        от 31 июля 2020 года № 248 ФЗ «О государственном контроле (надзоре)                             и муниципальном контроле в Российской Федерации» запрещена.</w:t>
      </w:r>
      <w:r>
        <w:rPr>
          <w:sz w:val="26"/>
          <w:szCs w:val="26"/>
          <w:highlight w:val="none"/>
        </w:rPr>
        <w:t xml:space="preserve"> В тоже время разрешается проведение профилактических мероприятий.</w:t>
      </w:r>
      <w:r/>
    </w:p>
    <w:p>
      <w:pPr>
        <w:ind w:firstLine="708"/>
        <w:jc w:val="both"/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</w:r>
      <w:r>
        <w:rPr>
          <w:sz w:val="26"/>
          <w:szCs w:val="26"/>
          <w:shd w:val="clear" w:fill="FFFFFF" w:color="auto"/>
        </w:rPr>
        <w:t xml:space="preserve">В целях предупреждения нарушений контролируемыми лицами обязательных требований земельного законодательства, устранения причин, факто</w:t>
      </w:r>
      <w:r>
        <w:rPr>
          <w:sz w:val="26"/>
          <w:szCs w:val="26"/>
          <w:shd w:val="clear" w:fill="FFFFFF" w:color="auto"/>
        </w:rPr>
        <w:t xml:space="preserve">ров и условий, способствующих указанным нарушениям, Контрольным органом осуществлялись мероприятия по профилактике таких нарушений в соответствии с утвержденной программой профилактики нарушений на 2025 год.</w:t>
      </w:r>
      <w:r/>
    </w:p>
    <w:p>
      <w:pPr>
        <w:ind w:firstLine="709"/>
        <w:jc w:val="both"/>
        <w:rPr>
          <w:sz w:val="26"/>
          <w:szCs w:val="26"/>
          <w:highlight w:val="none"/>
          <w:lang w:eastAsia="ru-RU"/>
        </w:rPr>
      </w:pPr>
      <w:r>
        <w:rPr>
          <w:sz w:val="26"/>
          <w:szCs w:val="26"/>
          <w:shd w:val="clear" w:fill="FFFFFF" w:color="auto"/>
        </w:rPr>
        <w:t xml:space="preserve">В частности, в рамках проведения мероприятий по профилактике нарушений обяз</w:t>
      </w:r>
      <w:r>
        <w:rPr>
          <w:sz w:val="26"/>
          <w:szCs w:val="26"/>
          <w:shd w:val="clear" w:fill="FFFFFF" w:color="auto"/>
        </w:rPr>
        <w:t xml:space="preserve">ательных требований земельного законодательства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 xml:space="preserve">Контрольным органом</w:t>
      </w:r>
      <w:r>
        <w:rPr>
          <w:sz w:val="26"/>
          <w:szCs w:val="26"/>
          <w:lang w:eastAsia="ru-RU"/>
        </w:rPr>
        <w:t xml:space="preserve"> за 11 месяцев 2025 года проведено </w:t>
      </w:r>
      <w:r>
        <w:rPr>
          <w:sz w:val="26"/>
          <w:szCs w:val="26"/>
          <w:lang w:eastAsia="ru-RU"/>
        </w:rPr>
        <w:t xml:space="preserve">847 профилактических мероприятий, из них:</w:t>
      </w:r>
      <w:r/>
    </w:p>
    <w:p>
      <w:pPr>
        <w:ind w:left="709" w:firstLine="0"/>
        <w:jc w:val="both"/>
        <w:tabs>
          <w:tab w:val="left" w:pos="1701" w:leader="none"/>
        </w:tabs>
        <w:rPr>
          <w:sz w:val="26"/>
          <w:szCs w:val="26"/>
          <w:lang w:eastAsia="ru-RU"/>
        </w:rPr>
      </w:pPr>
      <w:r>
        <w:rPr>
          <w:sz w:val="26"/>
          <w:szCs w:val="26"/>
          <w:highlight w:val="none"/>
          <w:lang w:eastAsia="ru-RU"/>
        </w:rPr>
        <w:t xml:space="preserve">- консультирование - 134;</w:t>
      </w:r>
      <w:r>
        <w:rPr>
          <w:sz w:val="26"/>
          <w:szCs w:val="26"/>
          <w:highlight w:val="none"/>
          <w:lang w:eastAsia="ru-RU"/>
        </w:rPr>
      </w:r>
      <w:r/>
    </w:p>
    <w:p>
      <w:pPr>
        <w:pStyle w:val="918"/>
        <w:ind w:firstLine="709"/>
        <w:jc w:val="both"/>
        <w:spacing w:after="0" w:afterAutospacing="0" w:before="0" w:beforeAutospacing="0"/>
        <w:rPr>
          <w:sz w:val="26"/>
          <w:szCs w:val="26"/>
        </w:rPr>
      </w:pPr>
      <w:r>
        <w:rPr>
          <w:sz w:val="26"/>
          <w:szCs w:val="26"/>
        </w:rPr>
        <w:t xml:space="preserve">- информирование:</w:t>
      </w:r>
      <w:r/>
    </w:p>
    <w:p>
      <w:pPr>
        <w:pStyle w:val="918"/>
        <w:numPr>
          <w:ilvl w:val="0"/>
          <w:numId w:val="32"/>
        </w:numPr>
        <w:ind w:firstLine="709"/>
        <w:jc w:val="both"/>
        <w:spacing w:after="0" w:afterAutospacing="0" w:before="0" w:beforeAutospacing="0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посредством опубликования на официальном сайте органов мес</w:t>
      </w:r>
      <w:r>
        <w:rPr>
          <w:sz w:val="26"/>
          <w:szCs w:val="26"/>
        </w:rPr>
        <w:t xml:space="preserve">тного самоуправления </w:t>
      </w:r>
      <w:r>
        <w:rPr>
          <w:sz w:val="26"/>
          <w:szCs w:val="26"/>
          <w:shd w:val="clear" w:fill="FFFFFF" w:color="auto"/>
        </w:rPr>
        <w:t xml:space="preserve">Старооскольского городского округа </w:t>
      </w:r>
      <w:r>
        <w:rPr>
          <w:sz w:val="26"/>
          <w:szCs w:val="26"/>
        </w:rPr>
        <w:t xml:space="preserve">в информационно-телекоммуникационной сети «Интернет» </w:t>
      </w:r>
      <w:r>
        <w:rPr>
          <w:sz w:val="26"/>
          <w:szCs w:val="26"/>
        </w:rPr>
        <w:t xml:space="preserve">памятки </w:t>
      </w:r>
      <w:r>
        <w:rPr>
          <w:sz w:val="26"/>
          <w:szCs w:val="26"/>
        </w:rPr>
        <w:t xml:space="preserve">по вопросам соблюдения обязательных требований;</w:t>
      </w:r>
      <w:r>
        <w:rPr>
          <w:sz w:val="26"/>
          <w:szCs w:val="26"/>
          <w:shd w:val="clear" w:fill="FFFFFF" w:color="auto"/>
        </w:rPr>
        <w:t xml:space="preserve"> </w:t>
      </w:r>
      <w:r>
        <w:rPr>
          <w:sz w:val="26"/>
          <w:szCs w:val="26"/>
        </w:rPr>
        <w:t xml:space="preserve">перечня нормативных правовых актов, содержащих обязательные требования, оценка соблюдения которых я</w:t>
      </w:r>
      <w:r>
        <w:rPr>
          <w:sz w:val="26"/>
          <w:szCs w:val="26"/>
        </w:rPr>
        <w:t xml:space="preserve">вляется предметом муниципального земельного контроля;  доклад об осуществлении муниципального земельного контроля, Положение о муниципальном земельном контроле) –                       5 публикаций;</w:t>
      </w:r>
      <w:r>
        <w:rPr>
          <w:sz w:val="26"/>
          <w:szCs w:val="26"/>
          <w:highlight w:val="none"/>
        </w:rPr>
      </w:r>
      <w:r/>
    </w:p>
    <w:p>
      <w:pPr>
        <w:pStyle w:val="918"/>
        <w:numPr>
          <w:ilvl w:val="0"/>
          <w:numId w:val="32"/>
        </w:numPr>
        <w:ind w:firstLine="709"/>
        <w:jc w:val="both"/>
        <w:spacing w:after="0" w:afterAutospacing="0" w:before="0" w:beforeAutospacing="0"/>
        <w:rPr>
          <w:sz w:val="26"/>
          <w:szCs w:val="26"/>
        </w:rPr>
      </w:pPr>
      <w:r>
        <w:rPr>
          <w:sz w:val="26"/>
          <w:szCs w:val="26"/>
        </w:rPr>
        <w:t xml:space="preserve">Посредством направления в адрес контролируемых лиц информационных писем о недопустимости нарушения обязательных требований земельного законодательства и принятии мер по обеспечению соблюдения обязательных требований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708</w:t>
      </w:r>
      <w:r>
        <w:rPr>
          <w:sz w:val="26"/>
          <w:szCs w:val="26"/>
        </w:rPr>
        <w:t xml:space="preserve">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  <w:lang w:eastAsia="ru-RU"/>
        </w:rPr>
        <w:t xml:space="preserve">В ходе анализа </w:t>
      </w:r>
      <w:r>
        <w:rPr>
          <w:sz w:val="26"/>
          <w:szCs w:val="26"/>
        </w:rPr>
        <w:t xml:space="preserve">практики осуществления муниципального земельного контроля на территории Старооскольского городского округа можно сделать вывод, что наиболее распространенными нарушениями требований</w:t>
      </w:r>
      <w:r>
        <w:rPr>
          <w:sz w:val="26"/>
          <w:szCs w:val="26"/>
        </w:rPr>
        <w:t xml:space="preserve"> земельного законодательства являются:</w:t>
      </w:r>
      <w:r/>
    </w:p>
    <w:p>
      <w:pPr>
        <w:ind w:firstLine="709"/>
        <w:jc w:val="both"/>
        <w:rPr>
          <w:sz w:val="26"/>
          <w:szCs w:val="26"/>
          <w:shd w:val="clear" w:fill="FFFFFF" w:color="auto"/>
        </w:rPr>
      </w:pPr>
      <w:r>
        <w:rPr>
          <w:sz w:val="26"/>
          <w:szCs w:val="26"/>
        </w:rPr>
        <w:t xml:space="preserve">- самовольное занятие земельного участка или использование земельного участка без правоустанавливающих документов, ответственность за которое предусмотрена статьей 7.1 Кодекса </w:t>
      </w:r>
      <w:r>
        <w:rPr>
          <w:sz w:val="26"/>
          <w:szCs w:val="26"/>
        </w:rPr>
        <w:t xml:space="preserve">Российской Федерации </w:t>
      </w:r>
      <w:r>
        <w:rPr>
          <w:sz w:val="26"/>
          <w:szCs w:val="26"/>
        </w:rPr>
        <w:t xml:space="preserve">об административных правонарушениях</w:t>
      </w:r>
      <w:r>
        <w:rPr>
          <w:sz w:val="26"/>
          <w:szCs w:val="26"/>
          <w:shd w:val="clear" w:fill="FFFFFF" w:color="auto"/>
        </w:rPr>
        <w:t xml:space="preserve">;</w:t>
      </w:r>
      <w:r/>
    </w:p>
    <w:p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</w:t>
      </w:r>
      <w:r>
        <w:rPr>
          <w:sz w:val="26"/>
          <w:szCs w:val="26"/>
          <w:lang w:eastAsia="ru-RU"/>
        </w:rPr>
        <w:t xml:space="preserve"> использование земельного участк</w:t>
      </w:r>
      <w:r>
        <w:rPr>
          <w:sz w:val="26"/>
          <w:szCs w:val="26"/>
          <w:lang w:eastAsia="ru-RU"/>
        </w:rPr>
        <w:t xml:space="preserve">а не по целевому назначению                                 в соответствии с его принадлежностью к той или иной категории земель и (или) разрешенным использованием, а также неиспользование земельного участка, предназначенного для жилищного или иного строит</w:t>
      </w:r>
      <w:r>
        <w:rPr>
          <w:sz w:val="26"/>
          <w:szCs w:val="26"/>
          <w:lang w:eastAsia="ru-RU"/>
        </w:rPr>
        <w:t xml:space="preserve">ельства, садоводства, </w:t>
      </w:r>
      <w:r>
        <w:rPr>
          <w:sz w:val="26"/>
          <w:szCs w:val="26"/>
          <w:lang w:eastAsia="ru-RU"/>
        </w:rPr>
        <w:t xml:space="preserve">огородничества,  </w:t>
      </w:r>
      <w:r>
        <w:rPr>
          <w:sz w:val="26"/>
          <w:szCs w:val="26"/>
        </w:rPr>
        <w:t xml:space="preserve">ответственность за указанные нарушения предусмотрены статьей 8.8 Кодекса Российской Федерации об административных правонарушениях.</w:t>
      </w:r>
      <w:r/>
    </w:p>
    <w:p>
      <w:pPr>
        <w:pStyle w:val="908"/>
        <w:ind w:firstLine="709"/>
        <w:jc w:val="both"/>
      </w:pPr>
      <w:r>
        <w:t xml:space="preserve">5. Одной из основных проблем, на решение котрой направлена программа профилактики, является сокращение количества типовых нарушений обязательных требований.</w:t>
      </w:r>
      <w:r/>
    </w:p>
    <w:p>
      <w:pPr>
        <w:pStyle w:val="908"/>
        <w:ind w:firstLine="709"/>
        <w:jc w:val="both"/>
      </w:pPr>
      <w:r>
        <w:t xml:space="preserve">Проведение профилактических мероприятий, направленных на соблюдение контролируемыми</w:t>
      </w:r>
      <w:r>
        <w:t xml:space="preserve"> лицами обязательных требований земельного законодательства, на побуждение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з</w:t>
      </w:r>
      <w:r>
        <w:t xml:space="preserve">емельного законодательства.</w:t>
      </w:r>
      <w:r/>
    </w:p>
    <w:p>
      <w:pPr>
        <w:pStyle w:val="908"/>
        <w:ind w:firstLine="709"/>
        <w:jc w:val="both"/>
        <w:rPr>
          <w:color w:val="000000"/>
        </w:rPr>
      </w:pPr>
      <w:r>
        <w:rPr>
          <w:color w:val="000000"/>
        </w:rPr>
      </w:r>
      <w:r/>
    </w:p>
    <w:p>
      <w:pPr>
        <w:pStyle w:val="908"/>
        <w:ind w:left="360"/>
        <w:jc w:val="center"/>
        <w:rPr>
          <w:b/>
        </w:rPr>
      </w:pPr>
      <w:r>
        <w:rPr>
          <w:b/>
          <w:lang w:val="en-US"/>
        </w:rPr>
        <w:t xml:space="preserve">II</w:t>
      </w:r>
      <w:r>
        <w:rPr>
          <w:b/>
        </w:rPr>
        <w:t xml:space="preserve">. Цели и задачи реализации Программы.</w:t>
      </w:r>
      <w:r/>
    </w:p>
    <w:p>
      <w:pPr>
        <w:pStyle w:val="908"/>
        <w:ind w:left="720"/>
        <w:jc w:val="center"/>
        <w:rPr>
          <w:b/>
        </w:rPr>
      </w:pPr>
      <w:r>
        <w:rPr>
          <w:b/>
        </w:rPr>
      </w:r>
      <w:r/>
    </w:p>
    <w:p>
      <w:pPr>
        <w:pStyle w:val="908"/>
        <w:numPr>
          <w:ilvl w:val="0"/>
          <w:numId w:val="19"/>
        </w:numPr>
        <w:ind w:left="0" w:firstLine="709"/>
        <w:jc w:val="both"/>
      </w:pPr>
      <w:r>
        <w:t xml:space="preserve">Целями Программы  профилактики являются:</w:t>
      </w:r>
      <w:r/>
    </w:p>
    <w:p>
      <w:pPr>
        <w:pStyle w:val="908"/>
        <w:ind w:firstLine="709"/>
        <w:jc w:val="both"/>
      </w:pPr>
      <w:r>
        <w:t xml:space="preserve">- п</w:t>
      </w:r>
      <w:r>
        <w:t xml:space="preserve">редупреждение нарушений обязательных требований земельного законодательства, включая устранение причин, факторов и условий, способствующих возможному нарушению обязательных требований земельного законодательства; </w:t>
      </w:r>
      <w:r/>
    </w:p>
    <w:p>
      <w:pPr>
        <w:pStyle w:val="908"/>
        <w:ind w:firstLine="709"/>
        <w:jc w:val="both"/>
      </w:pPr>
      <w:r>
        <w:t xml:space="preserve">- создание мотивации к добросовестному пов</w:t>
      </w:r>
      <w:r>
        <w:t xml:space="preserve">едению Контролируемых лиц и, как следствие, снижение уровня ущерба охраняемым законом ценностям;</w:t>
      </w:r>
      <w:r/>
    </w:p>
    <w:p>
      <w:pPr>
        <w:pStyle w:val="908"/>
        <w:ind w:firstLine="709"/>
        <w:jc w:val="both"/>
      </w:pPr>
      <w:r>
        <w:t xml:space="preserve">- разъяснение Контролируемым лицам обязательных требований земельного законодательства;</w:t>
      </w:r>
      <w:r/>
    </w:p>
    <w:p>
      <w:pPr>
        <w:pStyle w:val="908"/>
        <w:ind w:firstLine="709"/>
        <w:jc w:val="both"/>
      </w:pPr>
      <w:r>
        <w:t xml:space="preserve">- повышение прозрачности системы муниципального земельного контроля.</w:t>
      </w:r>
      <w:r/>
    </w:p>
    <w:p>
      <w:pPr>
        <w:pStyle w:val="908"/>
        <w:numPr>
          <w:ilvl w:val="0"/>
          <w:numId w:val="19"/>
        </w:numPr>
        <w:ind w:left="0" w:firstLine="709"/>
        <w:jc w:val="both"/>
      </w:pPr>
      <w:r>
        <w:t xml:space="preserve">За</w:t>
      </w:r>
      <w:r>
        <w:t xml:space="preserve">дачами Программы  профилактики являются:</w:t>
      </w:r>
      <w:r/>
    </w:p>
    <w:p>
      <w:pPr>
        <w:pStyle w:val="908"/>
        <w:ind w:firstLine="709"/>
        <w:jc w:val="both"/>
      </w:pPr>
      <w:r>
        <w:t xml:space="preserve">- укрепление системы профилактики нарушений обязательных требований;</w:t>
      </w:r>
      <w:r/>
    </w:p>
    <w:p>
      <w:pPr>
        <w:pStyle w:val="908"/>
        <w:ind w:firstLine="709"/>
        <w:jc w:val="both"/>
      </w:pPr>
      <w:r>
        <w:t xml:space="preserve">- </w:t>
      </w:r>
      <w:r>
        <w:t xml:space="preserve">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  <w:r/>
    </w:p>
    <w:p>
      <w:pPr>
        <w:pStyle w:val="908"/>
        <w:ind w:firstLine="709"/>
        <w:jc w:val="both"/>
      </w:pPr>
      <w:r>
        <w:t xml:space="preserve">- создание условий для изменения целостного отношения Контролируемых лиц к доброс</w:t>
      </w:r>
      <w:r>
        <w:t xml:space="preserve">овестному поведению, формирование позитивной ответственности за свое поведение;</w:t>
      </w:r>
      <w:r/>
    </w:p>
    <w:p>
      <w:pPr>
        <w:pStyle w:val="908"/>
        <w:ind w:firstLine="709"/>
        <w:jc w:val="both"/>
      </w:pPr>
      <w:r>
        <w:t xml:space="preserve">- формирование единого понимания обязательных требований земельного законодательства у всех участников контрольной деятельности.</w:t>
      </w:r>
      <w:r/>
    </w:p>
    <w:p>
      <w:pPr>
        <w:pStyle w:val="908"/>
      </w:pPr>
      <w:r/>
      <w:r/>
    </w:p>
    <w:p>
      <w:pPr>
        <w:pStyle w:val="908"/>
        <w:jc w:val="center"/>
        <w:rPr>
          <w:b/>
        </w:rPr>
      </w:pPr>
      <w:r>
        <w:rPr>
          <w:b/>
          <w:lang w:val="en-US"/>
        </w:rPr>
        <w:t xml:space="preserve">III</w:t>
      </w:r>
      <w:r>
        <w:rPr>
          <w:b/>
        </w:rPr>
        <w:t xml:space="preserve">. Перечень профилактических мероприятий, ср</w:t>
      </w:r>
      <w:r>
        <w:rPr>
          <w:b/>
        </w:rPr>
        <w:t xml:space="preserve">оки</w:t>
      </w:r>
      <w:r/>
    </w:p>
    <w:p>
      <w:pPr>
        <w:pStyle w:val="908"/>
        <w:ind w:left="1080"/>
        <w:jc w:val="center"/>
        <w:rPr>
          <w:b/>
        </w:rPr>
      </w:pPr>
      <w:r>
        <w:rPr>
          <w:b/>
        </w:rPr>
        <w:t xml:space="preserve">(периодичность) их проведения</w:t>
      </w:r>
      <w:r/>
    </w:p>
    <w:p>
      <w:pPr>
        <w:pStyle w:val="908"/>
        <w:rPr>
          <w:b/>
        </w:rPr>
      </w:pPr>
      <w:r>
        <w:rPr>
          <w:b/>
        </w:rPr>
      </w:r>
      <w:r/>
    </w:p>
    <w:tbl>
      <w:tblPr>
        <w:tblW w:w="0" w:type="auto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43"/>
        <w:gridCol w:w="1843"/>
        <w:gridCol w:w="2519"/>
      </w:tblGrid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№ п/п</w:t>
            </w:r>
            <w:r>
              <w:rPr>
                <w:b/>
                <w:sz w:val="20"/>
              </w:rPr>
            </w:r>
            <w:r/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Вид мероприятия</w:t>
            </w:r>
            <w:r>
              <w:rPr>
                <w:b/>
                <w:sz w:val="2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Сроки (периодичность) их проведения</w:t>
            </w:r>
            <w:r>
              <w:rPr>
                <w:b/>
                <w:sz w:val="20"/>
              </w:rPr>
            </w:r>
            <w:r/>
          </w:p>
        </w:tc>
        <w:tc>
          <w:tcPr>
            <w:tcW w:w="2519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Ответственные за реализацию мероприятия </w:t>
            </w:r>
            <w:r>
              <w:rPr>
                <w:b/>
                <w:sz w:val="20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1.</w:t>
            </w:r>
            <w:r>
              <w:rPr>
                <w:sz w:val="20"/>
              </w:rPr>
            </w:r>
            <w:r/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6"/>
              </w:rPr>
              <w:t xml:space="preserve">Информирование</w:t>
            </w:r>
            <w:r>
              <w:rPr>
                <w:b/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  <w:szCs w:val="26"/>
              </w:rPr>
            </w:r>
            <w:r>
              <w:rPr>
                <w:sz w:val="20"/>
              </w:rPr>
              <w:t xml:space="preserve">Информирование осуществляется Контрольным органом по вопросам </w:t>
            </w:r>
            <w:r>
              <w:rPr>
                <w:sz w:val="20"/>
              </w:rPr>
              <w:t xml:space="preserve">обязательных требований посредством размещения соответствующих сведений </w:t>
            </w:r>
            <w:r>
              <w:rPr>
                <w:sz w:val="20"/>
              </w:rPr>
              <w:t xml:space="preserve">на официальном сайте органов местного самоуправления Старооскольского городского округа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r>
              <w:rPr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</w:t>
            </w:r>
            <w:r>
              <w:rPr>
                <w:sz w:val="20"/>
              </w:rPr>
              <w:t xml:space="preserve">азмещенные сведения на указанном официальном сайте органов местного самоуправления Старооскольского городского округа поддерживаются в актуальном состоянии и обновляются в срок не позднее 5 рабочих дней с момента их изменения.</w:t>
            </w:r>
            <w:r>
              <w:rPr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Контрольный орган вправе осуществлять информирование также в следующих формах:</w:t>
            </w:r>
            <w:r>
              <w:rPr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при проведении собраний, конференций граждан, круглых столов и в иных формах совместного присутствия граждан;</w:t>
            </w:r>
            <w:r>
              <w:rPr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путем направления контролируемым лицам рекомендаций о соблюдении обязательных требований, в том числе в ходе проведения контрольных и профилактических мероприятий;</w:t>
            </w:r>
            <w:r>
              <w:rPr>
                <w:sz w:val="20"/>
              </w:rPr>
            </w:r>
            <w:r/>
          </w:p>
          <w:p>
            <w:pPr>
              <w:pStyle w:val="910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путем размещения информации в социальных сетях.</w:t>
            </w:r>
            <w:r>
              <w:rPr>
                <w:sz w:val="2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0"/>
              </w:rPr>
            </w:pPr>
            <w:r>
              <w:rPr>
                <w:sz w:val="20"/>
                <w:szCs w:val="26"/>
              </w:rPr>
              <w:t xml:space="preserve">В течение года</w:t>
            </w:r>
            <w:r>
              <w:rPr>
                <w:sz w:val="20"/>
              </w:rPr>
            </w:r>
            <w:r/>
          </w:p>
        </w:tc>
        <w:tc>
          <w:tcPr>
            <w:tcW w:w="2519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Муниципальные инспекторы отдела муниципального земельного контроля управления земельными ресурсами департамента имущественных и земельных отношений администрации </w:t>
            </w:r>
            <w:r>
              <w:rPr>
                <w:sz w:val="20"/>
                <w:szCs w:val="26"/>
              </w:rPr>
              <w:t xml:space="preserve">Старооскольского городского округа </w:t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2.</w:t>
            </w:r>
            <w:r/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Объявление предостережения </w:t>
            </w:r>
            <w:r>
              <w:rPr>
                <w:sz w:val="20"/>
              </w:rPr>
            </w:r>
            <w:r/>
          </w:p>
          <w:p>
            <w:pPr>
              <w:pStyle w:val="908"/>
              <w:ind w:firstLine="70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eastAsia="zh-CN"/>
              </w:rPr>
              <w:t xml:space="preserve">Предостережение о не</w:t>
            </w:r>
            <w:r>
              <w:rPr>
                <w:color w:val="000000"/>
                <w:sz w:val="20"/>
                <w:lang w:eastAsia="zh-CN"/>
              </w:rPr>
              <w:t xml:space="preserve">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 в случае отсутствия по</w:t>
            </w:r>
            <w:r>
              <w:rPr>
                <w:color w:val="000000"/>
                <w:sz w:val="20"/>
                <w:lang w:eastAsia="zh-CN"/>
              </w:rPr>
              <w:t xml:space="preserve">дтвержденных данных о том, что нарушени</w:t>
            </w:r>
            <w:r>
              <w:rPr>
                <w:color w:val="000000"/>
                <w:sz w:val="20"/>
                <w:lang w:eastAsia="zh-CN"/>
              </w:rPr>
              <w:t xml:space="preserve">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при этом Контрольный орган предлагает принять меры по обеспечению соблюдения обязательных требований. </w:t>
            </w:r>
            <w:r>
              <w:rPr>
                <w:color w:val="000000"/>
                <w:sz w:val="20"/>
                <w:lang w:eastAsia="zh-CN"/>
              </w:rPr>
              <w:t xml:space="preserve">Предостережение о недопустимости нарушения обязательных требований составляется по форме, утвержденной Приказом Минэкономразвития России от 31 марта 2021 года № 151 «О типовых формах документов, используемых кон</w:t>
            </w:r>
            <w:r>
              <w:rPr>
                <w:color w:val="000000"/>
                <w:sz w:val="20"/>
                <w:lang w:eastAsia="zh-CN"/>
              </w:rPr>
              <w:t xml:space="preserve">трольным (надзорным) органом». </w:t>
            </w:r>
            <w:r>
              <w:rPr>
                <w:color w:val="000000"/>
                <w:sz w:val="20"/>
                <w:lang w:eastAsia="zh-CN"/>
              </w:rPr>
      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Конт</w:t>
            </w:r>
            <w:r>
              <w:rPr>
                <w:color w:val="000000"/>
                <w:sz w:val="20"/>
                <w:lang w:eastAsia="zh-CN"/>
              </w:rPr>
              <w:t xml:space="preserve">рольный орган использует соответствующие данные для проведения иных профилактических мероприятий и контрольных мероприятий. Возражение на предостережение подается в Контрольный орган и рассматривается уполномоченными должностными лицами Контрольного органа</w:t>
            </w:r>
            <w:r>
              <w:rPr>
                <w:color w:val="000000"/>
                <w:sz w:val="20"/>
                <w:lang w:eastAsia="zh-CN"/>
              </w:rPr>
              <w:t xml:space="preserve">. </w:t>
            </w:r>
            <w:r>
              <w:rPr>
                <w:sz w:val="20"/>
              </w:rPr>
              <w:t xml:space="preserve">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течение 20 рабочих дней со дня получения им</w:t>
            </w:r>
            <w:r>
              <w:rPr>
                <w:sz w:val="20"/>
              </w:rPr>
              <w:t xml:space="preserve"> предостережения. Возражение представляется контролируемым лицом лично или его представителем в адрес Контрольного органа в бумажном виде, либо направляется почтовым отправлением, либо в виде электронного документа, подписанного в порядке, предусмотренном </w:t>
            </w:r>
            <w:hyperlink r:id="rId1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 w:history="1">
              <w:r>
                <w:rPr>
                  <w:color w:val="0000FF"/>
                  <w:sz w:val="20"/>
                </w:rPr>
                <w:t xml:space="preserve">статьей 21</w:t>
              </w:r>
            </w:hyperlink>
            <w:r>
              <w:rPr>
                <w:sz w:val="20"/>
              </w:rPr>
              <w:t xml:space="preserve"> Федерального закона № 248-ФЗ, на адрес электронной почты Контрольного органа. Возражение в отношении предостережения рассматривается Контрольным органом в срок, не пр</w:t>
            </w:r>
            <w:r>
              <w:rPr>
                <w:sz w:val="20"/>
              </w:rPr>
              <w:t xml:space="preserve">евышающий 15 рабочих дней со дня его регистрации. В результате рассмотрения возражения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  <w:r>
              <w:rPr>
                <w:sz w:val="2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</w:r>
            <w:r>
              <w:rPr>
                <w:sz w:val="20"/>
                <w:szCs w:val="26"/>
              </w:rPr>
              <w:t xml:space="preserve">В течение года </w:t>
            </w:r>
            <w:r>
              <w:rPr>
                <w:sz w:val="20"/>
                <w:szCs w:val="26"/>
              </w:rPr>
              <w:t xml:space="preserve">по мере </w:t>
            </w:r>
            <w:r>
              <w:rPr>
                <w:sz w:val="20"/>
                <w:szCs w:val="26"/>
              </w:rPr>
              <w:t xml:space="preserve">выявления признаков нарушения земельного законодательства</w:t>
            </w:r>
            <w:r/>
          </w:p>
        </w:tc>
        <w:tc>
          <w:tcPr>
            <w:tcW w:w="2519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Муниципальные инспекторы отдела муниципального земельного контроля управления земельными ресурсами департамента имущественных и </w:t>
            </w:r>
            <w:r>
              <w:rPr>
                <w:sz w:val="20"/>
                <w:szCs w:val="26"/>
              </w:rPr>
              <w:t xml:space="preserve">земельных отнош</w:t>
            </w:r>
            <w:r>
              <w:rPr>
                <w:sz w:val="20"/>
                <w:szCs w:val="26"/>
              </w:rPr>
              <w:t xml:space="preserve">ений администрации Старооскольского городского округ</w:t>
            </w:r>
            <w:r>
              <w:rPr>
                <w:sz w:val="20"/>
                <w:szCs w:val="26"/>
              </w:rPr>
              <w:t xml:space="preserve">а</w:t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3.</w:t>
            </w:r>
            <w:r/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6"/>
              </w:rPr>
              <w:t xml:space="preserve">Консультирование</w:t>
            </w:r>
            <w:r>
              <w:rPr>
                <w:b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 </w:t>
            </w:r>
            <w:r>
              <w:rPr>
                <w:sz w:val="20"/>
              </w:rPr>
              <w:t xml:space="preserve">Консультирование</w:t>
            </w:r>
            <w:r>
              <w:rPr>
                <w:sz w:val="20"/>
              </w:rPr>
              <w:t xml:space="preserve"> контролируемых лиц и их представителей осуществляется должностным лицом Контрольного органа по обращениям контролируемых лиц и их представителей по вопросам, связанным с организацией и осуществлением муниципального земельного контроля, без взимания платы: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 и не должно превышать 15 минут;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в виде письменных разъяснений;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посредством размещения на официальном сайте органов местного самоуправ</w:t>
            </w:r>
            <w:r>
              <w:rPr>
                <w:sz w:val="20"/>
              </w:rPr>
              <w:t xml:space="preserve">ления Старооскольского городского округа в сети "Интернет" письменного разъяснения, подписанного руководителем Контрольного органа, по однотипным обращениям (3 и более однотипных обращений по одним и тем же вопросам) контролируемых лиц и их представителей.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Консультирование осуществляется по следующим вопросам: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организация и осуществление муниципального земельного контроля;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порядок осуществления профилактических мероприятий, контрольных мероприятий, 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порядок обжалования решений Контрольного органа, действий (бездействия) должностных лиц Контрольного органа,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Консультирование в письменной форме осуществляется должностным лицом Контрольного органа в следующих случаях: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контролируемым лицом представлен письменный запрос о представлении письменного ответа по вопросам консультирования;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за время консультирования предоставить ответ на поставленные вопросы невозможно;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ответ на поставленные вопросы требует дополнительного запроса сведений.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 В ходе консультирования не может предоста</w:t>
            </w:r>
            <w:r>
              <w:rPr>
                <w:sz w:val="20"/>
              </w:rPr>
              <w:t xml:space="preserve">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проведенной в рамках контрольного мероприятия экспертизы.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Контрольным органом осуществляется учет проведенных консультирований посредством внесения соответствующей записи в журнал консультирований.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</w:t>
            </w:r>
            <w:r>
              <w:rPr>
                <w:sz w:val="20"/>
              </w:rPr>
              <w:t xml:space="preserve">сли поставленные во время консультирования вопросы не относятся к сфере муниципального земельного контроля, даются необходимые разъяснения по обращению в соответствующие органы власти или к соответствующим должностным лицам.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</w:r>
            <w:r>
              <w:rPr>
                <w:sz w:val="2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</w:r>
            <w:r>
              <w:rPr>
                <w:sz w:val="20"/>
                <w:szCs w:val="26"/>
              </w:rPr>
              <w:t xml:space="preserve">В течение года </w:t>
            </w:r>
            <w:r>
              <w:rPr>
                <w:sz w:val="20"/>
                <w:szCs w:val="26"/>
              </w:rPr>
              <w:t xml:space="preserve">по мере поступ</w:t>
            </w:r>
            <w:r>
              <w:rPr>
                <w:sz w:val="20"/>
                <w:szCs w:val="26"/>
              </w:rPr>
              <w:t xml:space="preserve">ления обращений контролируемых лиц</w:t>
            </w:r>
            <w:r>
              <w:rPr>
                <w:sz w:val="20"/>
              </w:rPr>
            </w:r>
            <w:r/>
          </w:p>
        </w:tc>
        <w:tc>
          <w:tcPr>
            <w:tcW w:w="2519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Муниципальные инспекторы отдела муниципального земельного контроля управления земельными ресурсами департамента </w:t>
            </w:r>
            <w:r>
              <w:rPr>
                <w:sz w:val="20"/>
                <w:szCs w:val="26"/>
              </w:rPr>
              <w:t xml:space="preserve">имущественных и земельных отношений администрации Старооскольского городского округа </w:t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/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0"/>
                <w:szCs w:val="26"/>
              </w:rPr>
              <w:t xml:space="preserve">Профилактический визит</w:t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</w:t>
            </w:r>
            <w:r>
              <w:rPr>
                <w:sz w:val="20"/>
                <w:lang w:eastAsia="zh-CN"/>
              </w:rPr>
              <w:t xml:space="preserve">лица либо путем использования видео – конференц - связи. 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В ходе профилактического визита контролируемое лицо информ</w:t>
            </w:r>
            <w:r>
              <w:rPr>
                <w:sz w:val="20"/>
                <w:lang w:eastAsia="zh-CN"/>
              </w:rPr>
              <w:t xml:space="preserve">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</w:t>
            </w:r>
            <w:r>
              <w:rPr>
                <w:sz w:val="20"/>
                <w:lang w:eastAsia="zh-CN"/>
              </w:rPr>
              <w:t xml:space="preserve">и  мероприятий, проводимых в отношении объекта контроля исходя из его отнесения к соответствующей категории риска, а </w:t>
            </w:r>
            <w:r>
              <w:rPr>
                <w:sz w:val="20"/>
              </w:rPr>
              <w:t xml:space="preserve">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  <w:r>
              <w:rPr>
                <w:sz w:val="20"/>
                <w:lang w:eastAsia="zh-CN"/>
              </w:rPr>
              <w:t xml:space="preserve">  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</w:r>
            <w:r>
              <w:rPr>
                <w:sz w:val="20"/>
              </w:rPr>
      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Для объектов контроля, отнесенных к категории среднего или умеренного риска, проводится обязательный профилактический визит в порядке, определенном </w:t>
            </w:r>
            <w:hyperlink r:id="rId1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 w:history="1">
              <w:r>
                <w:rPr>
                  <w:sz w:val="20"/>
                </w:rPr>
                <w:t xml:space="preserve">статьей 52.1</w:t>
              </w:r>
            </w:hyperlink>
            <w:r>
              <w:rPr>
                <w:sz w:val="20"/>
              </w:rPr>
              <w:t xml:space="preserve"> Федерального закона № 248-ФЗ, с периодичностью, установленной постановлением Правительства Российской Федерации.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Профилактический визит по инициативе контролируемого лица проводится инспекторами в соответствии со </w:t>
            </w:r>
            <w:hyperlink r:id="rId1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 w:history="1">
              <w:r>
                <w:rPr>
                  <w:sz w:val="20"/>
                </w:rPr>
                <w:t xml:space="preserve">статьей 52.2</w:t>
              </w:r>
            </w:hyperlink>
            <w:r>
              <w:rPr>
                <w:sz w:val="20"/>
              </w:rPr>
              <w:t xml:space="preserve"> Федерального закона                     № 248-ФЗ.</w:t>
            </w:r>
            <w:r>
              <w:rPr>
                <w:sz w:val="20"/>
              </w:rPr>
            </w:r>
            <w:r/>
          </w:p>
          <w:p>
            <w:pPr>
              <w:pStyle w:val="9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</w:t>
            </w:r>
            <w:r>
              <w:rPr>
                <w:sz w:val="20"/>
              </w:rPr>
              <w:t xml:space="preserve">) охраняемым законом ценностям или такой вред (ущерб) причинен, инспектор незамедлительно направляет информацию об этом руководителю Контрольного органа для принятия решения о проведении контрольных мероприятий, либо в случаях, предусмотренных Федеральным </w:t>
            </w:r>
            <w:hyperlink r:id="rId1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 w:history="1">
              <w:r>
                <w:rPr>
                  <w:sz w:val="20"/>
                </w:rPr>
                <w:t xml:space="preserve">законом</w:t>
              </w:r>
            </w:hyperlink>
            <w:r>
              <w:rPr>
                <w:sz w:val="20"/>
              </w:rPr>
              <w:t xml:space="preserve"> N 248-ФЗ, принимает меры, указанные в </w:t>
            </w:r>
            <w:hyperlink r:id="rId1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 w:history="1">
              <w:r>
                <w:rPr>
                  <w:sz w:val="20"/>
                </w:rPr>
                <w:t xml:space="preserve">статье 90</w:t>
              </w:r>
            </w:hyperlink>
            <w:r>
              <w:rPr>
                <w:sz w:val="20"/>
              </w:rPr>
              <w:t xml:space="preserve"> Федерального закона N 248-ФЗ.</w:t>
            </w:r>
            <w:r>
              <w:rPr>
                <w:sz w:val="2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По мере необходимости (при наличии оснований)</w:t>
            </w:r>
            <w:r/>
          </w:p>
        </w:tc>
        <w:tc>
          <w:tcPr>
            <w:tcW w:w="25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6"/>
              </w:rPr>
              <w:t xml:space="preserve">Муниципальные инспекторы отдела муниц</w:t>
            </w:r>
            <w:r>
              <w:rPr>
                <w:sz w:val="20"/>
                <w:szCs w:val="26"/>
              </w:rPr>
              <w:t xml:space="preserve">ипального земельного контроля управления земельными </w:t>
            </w:r>
            <w:r>
              <w:rPr>
                <w:sz w:val="20"/>
                <w:szCs w:val="26"/>
              </w:rPr>
              <w:t xml:space="preserve">ресурсами департамента имущественных и земельных отношений администрации Старооскольского городского округа</w:t>
            </w:r>
            <w:r/>
          </w:p>
        </w:tc>
      </w:tr>
    </w:tbl>
    <w:p>
      <w:pPr>
        <w:pStyle w:val="9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 w:eastAsia="ru-RU"/>
        </w:rPr>
        <w:t xml:space="preserve">IV</w:t>
      </w:r>
      <w:r>
        <w:rPr>
          <w:b/>
          <w:sz w:val="26"/>
          <w:szCs w:val="26"/>
          <w:lang w:eastAsia="ru-RU"/>
        </w:rPr>
        <w:t xml:space="preserve">. Показатели результативности и</w:t>
      </w:r>
      <w:r/>
    </w:p>
    <w:p>
      <w:pPr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эффективности Программы</w:t>
      </w:r>
      <w:r/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tbl>
      <w:tblPr>
        <w:tblW w:w="0" w:type="auto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ook w:val="04A0" w:firstRow="1" w:lastRow="0" w:firstColumn="1" w:lastColumn="0" w:noHBand="0" w:noVBand="1"/>
      </w:tblPr>
      <w:tblGrid>
        <w:gridCol w:w="661"/>
        <w:gridCol w:w="7107"/>
        <w:gridCol w:w="1804"/>
      </w:tblGrid>
      <w:tr>
        <w:trPr/>
        <w:tc>
          <w:tcPr>
            <w:tcW w:w="661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bCs/>
                <w:sz w:val="20"/>
                <w:szCs w:val="26"/>
              </w:rPr>
            </w:pPr>
            <w:r>
              <w:rPr>
                <w:b/>
                <w:bCs/>
                <w:sz w:val="20"/>
                <w:szCs w:val="26"/>
                <w:lang w:eastAsia="ru-RU"/>
              </w:rPr>
              <w:t xml:space="preserve">№ п/п</w:t>
            </w:r>
            <w:r>
              <w:rPr>
                <w:b/>
                <w:sz w:val="20"/>
              </w:rPr>
            </w:r>
            <w:r/>
          </w:p>
        </w:tc>
        <w:tc>
          <w:tcPr>
            <w:tcW w:w="7107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bCs/>
                <w:sz w:val="20"/>
                <w:szCs w:val="26"/>
              </w:rPr>
            </w:pPr>
            <w:r>
              <w:rPr>
                <w:b/>
                <w:bCs/>
                <w:sz w:val="20"/>
                <w:szCs w:val="26"/>
                <w:lang w:eastAsia="ru-RU"/>
              </w:rPr>
              <w:t xml:space="preserve">Наименование показателя</w:t>
            </w:r>
            <w:r>
              <w:rPr>
                <w:b/>
                <w:sz w:val="20"/>
              </w:rPr>
            </w:r>
            <w:r/>
          </w:p>
        </w:tc>
        <w:tc>
          <w:tcPr>
            <w:tcW w:w="180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rPr>
                <w:b/>
                <w:bCs/>
                <w:sz w:val="20"/>
                <w:szCs w:val="26"/>
              </w:rPr>
            </w:pPr>
            <w:r>
              <w:rPr>
                <w:b/>
                <w:bCs/>
                <w:sz w:val="20"/>
                <w:szCs w:val="26"/>
                <w:lang w:eastAsia="ru-RU"/>
              </w:rPr>
              <w:t xml:space="preserve">Значение показателя</w:t>
            </w:r>
            <w:r>
              <w:rPr>
                <w:b/>
                <w:sz w:val="20"/>
              </w:rPr>
            </w:r>
            <w:r/>
          </w:p>
        </w:tc>
      </w:tr>
      <w:tr>
        <w:trPr/>
        <w:tc>
          <w:tcP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1.</w:t>
            </w:r>
            <w:r>
              <w:rPr>
                <w:sz w:val="20"/>
              </w:rPr>
            </w:r>
            <w:r/>
          </w:p>
        </w:tc>
        <w:tc>
          <w:tcPr>
            <w:tcW w:w="7107" w:type="dxa"/>
            <w:vAlign w:val="center"/>
            <w:textDirection w:val="lrTb"/>
            <w:noWrap w:val="false"/>
          </w:tcPr>
          <w:p>
            <w:pPr>
              <w:ind w:left="34"/>
              <w:jc w:val="both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Полнота информации, размещенной на официальном сайте контрольного органа в сети «Интернет», в соответствии с ч. 3 ст. 46 Федерального закона № 248-ФЗ </w:t>
            </w:r>
            <w:r>
              <w:rPr>
                <w:bCs/>
                <w:sz w:val="20"/>
                <w:szCs w:val="26"/>
                <w:lang w:eastAsia="ru-RU"/>
              </w:rPr>
              <w:t xml:space="preserve">«О государственном контроле (надзоре) и муниципальном </w:t>
            </w:r>
            <w:r>
              <w:rPr>
                <w:bCs/>
                <w:sz w:val="20"/>
                <w:szCs w:val="26"/>
                <w:lang w:eastAsia="ru-RU"/>
              </w:rPr>
              <w:t xml:space="preserve">контроле в Российской Федерации</w:t>
            </w:r>
            <w:r>
              <w:rPr>
                <w:sz w:val="20"/>
              </w:rPr>
            </w:r>
            <w:r/>
          </w:p>
        </w:tc>
        <w:tc>
          <w:tcPr>
            <w:tcW w:w="180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100%</w:t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2.</w:t>
            </w:r>
            <w:r>
              <w:rPr>
                <w:sz w:val="20"/>
              </w:rPr>
            </w:r>
            <w:r/>
          </w:p>
        </w:tc>
        <w:tc>
          <w:tcPr>
            <w:tcW w:w="7107" w:type="dxa"/>
            <w:vAlign w:val="center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Понятность обязательных требований земельного законодательства, обеспечивающая их однозначное толкование у всех участников к</w:t>
            </w:r>
            <w:r>
              <w:rPr>
                <w:bCs/>
                <w:sz w:val="20"/>
                <w:szCs w:val="26"/>
                <w:lang w:eastAsia="ru-RU"/>
              </w:rPr>
              <w:t xml:space="preserve">онтрольной деятельности</w:t>
            </w:r>
            <w:r>
              <w:rPr>
                <w:sz w:val="20"/>
              </w:rPr>
            </w:r>
            <w:r/>
          </w:p>
        </w:tc>
        <w:tc>
          <w:tcPr>
            <w:tcW w:w="180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100%</w:t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6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3.</w:t>
            </w:r>
            <w:r>
              <w:rPr>
                <w:sz w:val="20"/>
              </w:rPr>
            </w:r>
            <w:r/>
          </w:p>
        </w:tc>
        <w:tc>
          <w:tcPr>
            <w:tcW w:w="7107" w:type="dxa"/>
            <w:vAlign w:val="center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Удовлетворенность контролируемых лиц (их представителей) консультированием контрольного органа</w:t>
            </w:r>
            <w:r>
              <w:rPr>
                <w:sz w:val="20"/>
              </w:rPr>
            </w:r>
            <w:r/>
          </w:p>
        </w:tc>
        <w:tc>
          <w:tcPr>
            <w:tcW w:w="180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6"/>
              </w:rPr>
            </w:pPr>
            <w:r>
              <w:rPr>
                <w:bCs/>
                <w:sz w:val="20"/>
                <w:szCs w:val="26"/>
                <w:lang w:eastAsia="ru-RU"/>
              </w:rPr>
              <w:t xml:space="preserve">100% от числа обратившихся</w:t>
            </w:r>
            <w:r>
              <w:rPr>
                <w:sz w:val="20"/>
              </w:rPr>
            </w:r>
            <w:r/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849" w:bottom="851" w:left="1701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Segoe UI">
    <w:panose1 w:val="020B0502040504020204"/>
  </w:font>
  <w:font w:name="Lucida Sans Unicode">
    <w:panose1 w:val="020B06030308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</w:pPr>
    <w:r>
      <w:fldChar w:fldCharType="begin"/>
    </w:r>
    <w:r>
      <w:rPr>
        <w:rFonts w:ascii="Times New Roman" w:hAnsi="Times New Roman"/>
      </w:rPr>
      <w:instrText xml:space="preserve">PAGE   \* MERGEFORMAT</w:instrText>
    </w:r>
    <w:r>
      <w:fldChar w:fldCharType="separate"/>
    </w:r>
    <w:r>
      <w:t xml:space="preserve">4</w:t>
    </w:r>
    <w:r>
      <w:fldChar w:fldCharType="end"/>
    </w:r>
    <w:r/>
  </w:p>
  <w:p>
    <w:pPr>
      <w:pStyle w:val="9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7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2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7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7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2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180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88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56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4"/>
      <w:numFmt w:val="decimal"/>
      <w:isLgl w:val="false"/>
      <w:suff w:val="tab"/>
      <w:lvlText w:val="%1.%2"/>
      <w:lvlJc w:val="left"/>
      <w:pPr>
        <w:ind w:left="1211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571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291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291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651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651" w:hanging="1800"/>
      </w:p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ascii="Times New Roman" w:hAnsi="Times New Roman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6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28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0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2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4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16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88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0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24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5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7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8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6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85" w:hanging="585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4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3"/>
      <w:numFmt w:val="decimal"/>
      <w:isLgl w:val="false"/>
      <w:suff w:val="tab"/>
      <w:lvlText w:val="%1.%2."/>
      <w:lvlJc w:val="left"/>
      <w:pPr>
        <w:ind w:left="114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5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7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8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14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71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92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4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0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27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488" w:hanging="1800"/>
      </w:p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05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0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0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39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5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744" w:hanging="180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2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5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1"/>
  </w:num>
  <w:num w:numId="5">
    <w:abstractNumId w:val="24"/>
  </w:num>
  <w:num w:numId="6">
    <w:abstractNumId w:val="21"/>
  </w:num>
  <w:num w:numId="7">
    <w:abstractNumId w:val="2"/>
  </w:num>
  <w:num w:numId="8">
    <w:abstractNumId w:val="10"/>
  </w:num>
  <w:num w:numId="9">
    <w:abstractNumId w:val="27"/>
  </w:num>
  <w:num w:numId="10">
    <w:abstractNumId w:val="9"/>
  </w:num>
  <w:num w:numId="11">
    <w:abstractNumId w:val="16"/>
  </w:num>
  <w:num w:numId="12">
    <w:abstractNumId w:val="25"/>
  </w:num>
  <w:num w:numId="13">
    <w:abstractNumId w:val="8"/>
  </w:num>
  <w:num w:numId="14">
    <w:abstractNumId w:val="4"/>
  </w:num>
  <w:num w:numId="15">
    <w:abstractNumId w:val="15"/>
  </w:num>
  <w:num w:numId="16">
    <w:abstractNumId w:val="13"/>
  </w:num>
  <w:num w:numId="17">
    <w:abstractNumId w:val="19"/>
  </w:num>
  <w:num w:numId="18">
    <w:abstractNumId w:val="1"/>
  </w:num>
  <w:num w:numId="19">
    <w:abstractNumId w:val="5"/>
  </w:num>
  <w:num w:numId="20">
    <w:abstractNumId w:val="18"/>
  </w:num>
  <w:num w:numId="21">
    <w:abstractNumId w:val="23"/>
  </w:num>
  <w:num w:numId="22">
    <w:abstractNumId w:val="12"/>
  </w:num>
  <w:num w:numId="23">
    <w:abstractNumId w:val="0"/>
  </w:num>
  <w:num w:numId="24">
    <w:abstractNumId w:val="14"/>
  </w:num>
  <w:num w:numId="25">
    <w:abstractNumId w:val="22"/>
  </w:num>
  <w:num w:numId="26">
    <w:abstractNumId w:val="6"/>
  </w:num>
  <w:num w:numId="27">
    <w:abstractNumId w:val="7"/>
  </w:num>
  <w:num w:numId="28">
    <w:abstractNumId w:val="26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Title Char"/>
    <w:basedOn w:val="723"/>
    <w:link w:val="745"/>
    <w:uiPriority w:val="10"/>
    <w:rPr>
      <w:sz w:val="48"/>
      <w:szCs w:val="48"/>
    </w:rPr>
  </w:style>
  <w:style w:type="character" w:styleId="717">
    <w:name w:val="Subtitle Char"/>
    <w:basedOn w:val="723"/>
    <w:link w:val="747"/>
    <w:uiPriority w:val="11"/>
    <w:rPr>
      <w:sz w:val="24"/>
      <w:szCs w:val="24"/>
    </w:rPr>
  </w:style>
  <w:style w:type="character" w:styleId="718">
    <w:name w:val="Quote Char"/>
    <w:link w:val="749"/>
    <w:uiPriority w:val="29"/>
    <w:rPr>
      <w:i/>
    </w:rPr>
  </w:style>
  <w:style w:type="character" w:styleId="719">
    <w:name w:val="Intense Quote Char"/>
    <w:link w:val="751"/>
    <w:uiPriority w:val="30"/>
    <w:rPr>
      <w:i/>
    </w:rPr>
  </w:style>
  <w:style w:type="character" w:styleId="720">
    <w:name w:val="Footnote Text Char"/>
    <w:link w:val="886"/>
    <w:uiPriority w:val="99"/>
    <w:rPr>
      <w:sz w:val="18"/>
    </w:rPr>
  </w:style>
  <w:style w:type="character" w:styleId="721">
    <w:name w:val="Endnote Text Char"/>
    <w:link w:val="889"/>
    <w:uiPriority w:val="99"/>
    <w:rPr>
      <w:sz w:val="20"/>
    </w:rPr>
  </w:style>
  <w:style w:type="paragraph" w:styleId="722" w:default="1">
    <w:name w:val="Normal"/>
    <w:qFormat/>
    <w:rPr>
      <w:lang w:eastAsia="zh-CN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Heading 1 Char"/>
    <w:link w:val="904"/>
    <w:rPr>
      <w:rFonts w:ascii="Arial" w:hAnsi="Arial" w:eastAsia="Lucida Sans Unicode"/>
      <w:sz w:val="24"/>
      <w:szCs w:val="24"/>
      <w:lang w:val="ru-RU" w:bidi="ar-SA" w:eastAsia="en-US"/>
    </w:rPr>
  </w:style>
  <w:style w:type="paragraph" w:styleId="727" w:customStyle="1">
    <w:name w:val="Heading 2"/>
    <w:link w:val="728"/>
    <w:qFormat/>
    <w:uiPriority w:val="9"/>
    <w:unhideWhenUsed/>
    <w:rPr>
      <w:rFonts w:ascii="Arial" w:hAnsi="Arial" w:eastAsia="Arial"/>
      <w:sz w:val="34"/>
    </w:rPr>
    <w:pPr>
      <w:keepLines/>
      <w:keepNext/>
      <w:spacing w:after="200" w:before="360"/>
      <w:outlineLvl w:val="1"/>
    </w:pPr>
  </w:style>
  <w:style w:type="character" w:styleId="728" w:customStyle="1">
    <w:name w:val="Heading 2 Char"/>
    <w:link w:val="727"/>
    <w:uiPriority w:val="9"/>
    <w:rPr>
      <w:rFonts w:ascii="Arial" w:hAnsi="Arial" w:eastAsia="Arial"/>
      <w:sz w:val="34"/>
      <w:lang w:bidi="ar-SA"/>
    </w:rPr>
  </w:style>
  <w:style w:type="paragraph" w:styleId="729" w:customStyle="1">
    <w:name w:val="Heading 3"/>
    <w:link w:val="730"/>
    <w:qFormat/>
    <w:uiPriority w:val="9"/>
    <w:unhideWhenUsed/>
    <w:rPr>
      <w:rFonts w:ascii="Arial" w:hAnsi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30" w:customStyle="1">
    <w:name w:val="Heading 3 Char"/>
    <w:link w:val="729"/>
    <w:uiPriority w:val="9"/>
    <w:rPr>
      <w:rFonts w:ascii="Arial" w:hAnsi="Arial" w:eastAsia="Arial"/>
      <w:sz w:val="30"/>
      <w:szCs w:val="30"/>
      <w:lang w:bidi="ar-SA"/>
    </w:rPr>
  </w:style>
  <w:style w:type="paragraph" w:styleId="731" w:customStyle="1">
    <w:name w:val="Heading 4"/>
    <w:link w:val="732"/>
    <w:qFormat/>
    <w:uiPriority w:val="9"/>
    <w:unhideWhenUsed/>
    <w:rPr>
      <w:rFonts w:ascii="Arial" w:hAnsi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32" w:customStyle="1">
    <w:name w:val="Heading 4 Char"/>
    <w:link w:val="731"/>
    <w:uiPriority w:val="9"/>
    <w:rPr>
      <w:rFonts w:ascii="Arial" w:hAnsi="Arial" w:eastAsia="Arial"/>
      <w:b/>
      <w:bCs/>
      <w:sz w:val="26"/>
      <w:szCs w:val="26"/>
      <w:lang w:bidi="ar-SA"/>
    </w:rPr>
  </w:style>
  <w:style w:type="paragraph" w:styleId="733" w:customStyle="1">
    <w:name w:val="Heading 5"/>
    <w:link w:val="734"/>
    <w:qFormat/>
    <w:uiPriority w:val="9"/>
    <w:unhideWhenUsed/>
    <w:rPr>
      <w:rFonts w:ascii="Arial" w:hAnsi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34" w:customStyle="1">
    <w:name w:val="Heading 5 Char"/>
    <w:link w:val="733"/>
    <w:uiPriority w:val="9"/>
    <w:rPr>
      <w:rFonts w:ascii="Arial" w:hAnsi="Arial" w:eastAsia="Arial"/>
      <w:b/>
      <w:bCs/>
      <w:sz w:val="24"/>
      <w:szCs w:val="24"/>
      <w:lang w:bidi="ar-SA"/>
    </w:rPr>
  </w:style>
  <w:style w:type="paragraph" w:styleId="735" w:customStyle="1">
    <w:name w:val="Heading 6"/>
    <w:link w:val="736"/>
    <w:qFormat/>
    <w:uiPriority w:val="9"/>
    <w:unhideWhenUsed/>
    <w:rPr>
      <w:rFonts w:ascii="Arial" w:hAnsi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36" w:customStyle="1">
    <w:name w:val="Heading 6 Char"/>
    <w:link w:val="735"/>
    <w:uiPriority w:val="9"/>
    <w:rPr>
      <w:rFonts w:ascii="Arial" w:hAnsi="Arial" w:eastAsia="Arial"/>
      <w:b/>
      <w:bCs/>
      <w:sz w:val="22"/>
      <w:szCs w:val="22"/>
      <w:lang w:bidi="ar-SA"/>
    </w:rPr>
  </w:style>
  <w:style w:type="paragraph" w:styleId="737" w:customStyle="1">
    <w:name w:val="Heading 7"/>
    <w:link w:val="738"/>
    <w:qFormat/>
    <w:uiPriority w:val="9"/>
    <w:unhideWhenUsed/>
    <w:rPr>
      <w:rFonts w:ascii="Arial" w:hAnsi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38" w:customStyle="1">
    <w:name w:val="Heading 7 Char"/>
    <w:link w:val="737"/>
    <w:uiPriority w:val="9"/>
    <w:rPr>
      <w:rFonts w:ascii="Arial" w:hAnsi="Arial" w:eastAsia="Arial"/>
      <w:b/>
      <w:bCs/>
      <w:i/>
      <w:iCs/>
      <w:sz w:val="22"/>
      <w:szCs w:val="22"/>
      <w:lang w:bidi="ar-SA"/>
    </w:rPr>
  </w:style>
  <w:style w:type="paragraph" w:styleId="739" w:customStyle="1">
    <w:name w:val="Heading 8"/>
    <w:link w:val="740"/>
    <w:qFormat/>
    <w:uiPriority w:val="9"/>
    <w:unhideWhenUsed/>
    <w:rPr>
      <w:rFonts w:ascii="Arial" w:hAnsi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40" w:customStyle="1">
    <w:name w:val="Heading 8 Char"/>
    <w:link w:val="739"/>
    <w:uiPriority w:val="9"/>
    <w:rPr>
      <w:rFonts w:ascii="Arial" w:hAnsi="Arial" w:eastAsia="Arial"/>
      <w:i/>
      <w:iCs/>
      <w:sz w:val="22"/>
      <w:szCs w:val="22"/>
      <w:lang w:bidi="ar-SA"/>
    </w:rPr>
  </w:style>
  <w:style w:type="paragraph" w:styleId="741" w:customStyle="1">
    <w:name w:val="Heading 9"/>
    <w:link w:val="742"/>
    <w:qFormat/>
    <w:uiPriority w:val="9"/>
    <w:unhideWhenUsed/>
    <w:rPr>
      <w:rFonts w:ascii="Arial" w:hAnsi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42" w:customStyle="1">
    <w:name w:val="Heading 9 Char"/>
    <w:link w:val="741"/>
    <w:uiPriority w:val="9"/>
    <w:rPr>
      <w:rFonts w:ascii="Arial" w:hAnsi="Arial" w:eastAsia="Arial"/>
      <w:i/>
      <w:iCs/>
      <w:sz w:val="21"/>
      <w:szCs w:val="21"/>
      <w:lang w:bidi="ar-SA"/>
    </w:rPr>
  </w:style>
  <w:style w:type="paragraph" w:styleId="743">
    <w:name w:val="List Paragraph"/>
    <w:qFormat/>
    <w:uiPriority w:val="34"/>
    <w:rPr>
      <w:lang w:eastAsia="zh-CN"/>
    </w:rPr>
    <w:pPr>
      <w:contextualSpacing w:val="true"/>
      <w:ind w:left="720"/>
    </w:pPr>
  </w:style>
  <w:style w:type="paragraph" w:styleId="744">
    <w:name w:val="No Spacing"/>
    <w:qFormat/>
    <w:uiPriority w:val="1"/>
    <w:rPr>
      <w:lang w:eastAsia="zh-CN"/>
    </w:rPr>
  </w:style>
  <w:style w:type="paragraph" w:styleId="745">
    <w:name w:val="Title"/>
    <w:link w:val="74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46" w:customStyle="1">
    <w:name w:val="Название Знак"/>
    <w:link w:val="745"/>
    <w:uiPriority w:val="10"/>
    <w:rPr>
      <w:sz w:val="48"/>
      <w:szCs w:val="48"/>
      <w:lang w:bidi="ar-SA"/>
    </w:rPr>
  </w:style>
  <w:style w:type="paragraph" w:styleId="747">
    <w:name w:val="Subtitle"/>
    <w:link w:val="748"/>
    <w:qFormat/>
    <w:uiPriority w:val="11"/>
    <w:rPr>
      <w:sz w:val="24"/>
      <w:szCs w:val="24"/>
    </w:rPr>
    <w:pPr>
      <w:spacing w:after="200" w:before="200"/>
    </w:pPr>
  </w:style>
  <w:style w:type="character" w:styleId="748" w:customStyle="1">
    <w:name w:val="Подзаголовок Знак"/>
    <w:link w:val="747"/>
    <w:uiPriority w:val="11"/>
    <w:rPr>
      <w:sz w:val="24"/>
      <w:szCs w:val="24"/>
      <w:lang w:bidi="ar-SA"/>
    </w:rPr>
  </w:style>
  <w:style w:type="paragraph" w:styleId="749">
    <w:name w:val="Quote"/>
    <w:link w:val="750"/>
    <w:qFormat/>
    <w:uiPriority w:val="29"/>
    <w:rPr>
      <w:i/>
      <w:lang w:eastAsia="zh-CN"/>
    </w:rPr>
    <w:pPr>
      <w:ind w:left="720" w:right="720"/>
    </w:pPr>
  </w:style>
  <w:style w:type="character" w:styleId="750" w:customStyle="1">
    <w:name w:val="Цитата 2 Знак"/>
    <w:link w:val="749"/>
    <w:uiPriority w:val="29"/>
    <w:rPr>
      <w:i/>
      <w:lang w:val="ru-RU" w:bidi="ar-SA" w:eastAsia="zh-CN"/>
    </w:rPr>
  </w:style>
  <w:style w:type="paragraph" w:styleId="751">
    <w:name w:val="Intense Quote"/>
    <w:link w:val="752"/>
    <w:qFormat/>
    <w:uiPriority w:val="30"/>
    <w:rPr>
      <w:i/>
      <w:lang w:eastAsia="zh-CN"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52" w:customStyle="1">
    <w:name w:val="Выделенная цитата Знак"/>
    <w:link w:val="751"/>
    <w:uiPriority w:val="30"/>
    <w:rPr>
      <w:i/>
      <w:shd w:val="clear" w:fill="F2F2F2" w:color="auto"/>
      <w:lang w:val="ru-RU" w:bidi="ar-SA" w:eastAsia="zh-CN"/>
    </w:rPr>
  </w:style>
  <w:style w:type="paragraph" w:styleId="753" w:customStyle="1">
    <w:name w:val="Header"/>
    <w:link w:val="754"/>
    <w:uiPriority w:val="99"/>
    <w:unhideWhenUsed/>
    <w:rPr>
      <w:lang w:eastAsia="zh-CN"/>
    </w:rPr>
    <w:pPr>
      <w:tabs>
        <w:tab w:val="center" w:pos="7143" w:leader="none"/>
        <w:tab w:val="right" w:pos="14287" w:leader="none"/>
      </w:tabs>
    </w:pPr>
  </w:style>
  <w:style w:type="character" w:styleId="754" w:customStyle="1">
    <w:name w:val="Header Char"/>
    <w:link w:val="753"/>
    <w:uiPriority w:val="99"/>
    <w:rPr>
      <w:lang w:val="ru-RU" w:bidi="ar-SA" w:eastAsia="zh-CN"/>
    </w:rPr>
  </w:style>
  <w:style w:type="paragraph" w:styleId="755" w:customStyle="1">
    <w:name w:val="Footer"/>
    <w:link w:val="758"/>
    <w:uiPriority w:val="99"/>
    <w:unhideWhenUsed/>
    <w:rPr>
      <w:lang w:eastAsia="zh-CN"/>
    </w:rPr>
    <w:pPr>
      <w:tabs>
        <w:tab w:val="center" w:pos="7143" w:leader="none"/>
        <w:tab w:val="right" w:pos="14287" w:leader="none"/>
      </w:tabs>
    </w:pPr>
  </w:style>
  <w:style w:type="character" w:styleId="756" w:customStyle="1">
    <w:name w:val="Footer Char"/>
    <w:uiPriority w:val="99"/>
  </w:style>
  <w:style w:type="paragraph" w:styleId="757" w:customStyle="1">
    <w:name w:val="Caption"/>
    <w:qFormat/>
    <w:uiPriority w:val="35"/>
    <w:semiHidden/>
    <w:unhideWhenUsed/>
    <w:rPr>
      <w:b/>
      <w:bCs/>
      <w:color w:val="4F81BD"/>
      <w:sz w:val="18"/>
      <w:szCs w:val="18"/>
      <w:lang w:eastAsia="zh-CN"/>
    </w:rPr>
    <w:pPr>
      <w:spacing w:lineRule="auto" w:line="276"/>
    </w:pPr>
  </w:style>
  <w:style w:type="character" w:styleId="758" w:customStyle="1">
    <w:name w:val="Caption Char"/>
    <w:link w:val="755"/>
    <w:uiPriority w:val="99"/>
    <w:rPr>
      <w:lang w:val="ru-RU" w:bidi="ar-SA" w:eastAsia="zh-CN"/>
    </w:rPr>
  </w:style>
  <w:style w:type="table" w:styleId="759">
    <w:name w:val="Table Grid"/>
    <w:basedOn w:val="72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rPr>
      <w:lang w:eastAsia="zh-CN"/>
    </w:rPr>
    <w:tblPr>
      <w:tblInd w:w="0" w:type="dxa"/>
      <w:tblBorders>
        <w:left w:val="single" w:color="AFAFAF" w:sz="4" w:space="0"/>
        <w:top w:val="single" w:color="AFAFAF" w:sz="4" w:space="0"/>
        <w:right w:val="single" w:color="AFAFAF" w:sz="4" w:space="0"/>
        <w:bottom w:val="single" w:color="AFAFAF" w:sz="4" w:space="0"/>
        <w:insideV w:val="single" w:color="AFAFAF" w:sz="4" w:space="0"/>
        <w:insideH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Plain Table 1"/>
    <w:uiPriority w:val="59"/>
    <w:rPr>
      <w:lang w:eastAsia="zh-CN"/>
    </w:rPr>
    <w:tblPr>
      <w:tblInd w:w="0" w:type="dxa"/>
      <w:tblBorders>
        <w:left w:val="single" w:color="AFAFAF" w:sz="4" w:space="0"/>
        <w:top w:val="single" w:color="AFAFAF" w:sz="4" w:space="0"/>
        <w:right w:val="single" w:color="AFAFAF" w:sz="4" w:space="0"/>
        <w:bottom w:val="single" w:color="AFAFAF" w:sz="4" w:space="0"/>
        <w:insideV w:val="single" w:color="AFAFAF" w:sz="4" w:space="0"/>
        <w:insideH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 w:customStyle="1">
    <w:name w:val="Plain Table 2"/>
    <w:uiPriority w:val="59"/>
    <w:rPr>
      <w:lang w:eastAsia="zh-CN"/>
    </w:rPr>
    <w:tblPr>
      <w:tblInd w:w="0" w:type="dxa"/>
      <w:tblBorders>
        <w:left w:val="none" w:color="000000" w:sz="4" w:space="0"/>
        <w:top w:val="single" w:color="000000" w:sz="4" w:space="0"/>
        <w:right w:val="none" w:color="000000" w:sz="4" w:space="0"/>
        <w:bottom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89898" w:sz="4" w:space="0"/>
        <w:top w:val="single" w:color="989898" w:sz="4" w:space="0"/>
        <w:right w:val="single" w:color="989898" w:sz="4" w:space="0"/>
        <w:bottom w:val="single" w:color="989898" w:sz="4" w:space="0"/>
        <w:insideV w:val="single" w:color="989898" w:sz="4" w:space="0"/>
        <w:insideH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7CBE4" w:sz="4" w:space="0"/>
        <w:top w:val="single" w:color="B7CBE4" w:sz="4" w:space="0"/>
        <w:right w:val="single" w:color="B7CBE4" w:sz="4" w:space="0"/>
        <w:bottom w:val="single" w:color="B7CBE4" w:sz="4" w:space="0"/>
        <w:insideV w:val="single" w:color="B7CBE4" w:sz="4" w:space="0"/>
        <w:insideH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E5B7B6" w:sz="4" w:space="0"/>
        <w:top w:val="single" w:color="E5B7B6" w:sz="4" w:space="0"/>
        <w:right w:val="single" w:color="E5B7B6" w:sz="4" w:space="0"/>
        <w:bottom w:val="single" w:color="E5B7B6" w:sz="4" w:space="0"/>
        <w:insideV w:val="single" w:color="E5B7B6" w:sz="4" w:space="0"/>
        <w:insideH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6E3BB" w:sz="4" w:space="0"/>
        <w:top w:val="single" w:color="D6E3BB" w:sz="4" w:space="0"/>
        <w:right w:val="single" w:color="D6E3BB" w:sz="4" w:space="0"/>
        <w:bottom w:val="single" w:color="D6E3BB" w:sz="4" w:space="0"/>
        <w:insideV w:val="single" w:color="D6E3BB" w:sz="4" w:space="0"/>
        <w:insideH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CBC0D9" w:sz="4" w:space="0"/>
        <w:top w:val="single" w:color="CBC0D9" w:sz="4" w:space="0"/>
        <w:right w:val="single" w:color="CBC0D9" w:sz="4" w:space="0"/>
        <w:bottom w:val="single" w:color="CBC0D9" w:sz="4" w:space="0"/>
        <w:insideV w:val="single" w:color="CBC0D9" w:sz="4" w:space="0"/>
        <w:insideH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V w:val="single" w:color="6A6A6A" w:sz="4" w:space="0"/>
        <w:insideH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V w:val="single" w:color="5D8AC2" w:sz="4" w:space="0"/>
        <w:insideH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V w:val="single" w:color="D99695" w:sz="4" w:space="0"/>
        <w:insideH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V w:val="single" w:color="9ABB59" w:sz="4" w:space="0"/>
        <w:insideH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V w:val="single" w:color="B2A1C6" w:sz="4" w:space="0"/>
        <w:insideH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V w:val="single" w:color="4BACC6" w:sz="4" w:space="0"/>
        <w:insideH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V w:val="single" w:color="F79646" w:sz="4" w:space="0"/>
        <w:insideH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V w:val="single" w:color="6A6A6A" w:sz="4" w:space="0"/>
        <w:insideH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V w:val="single" w:color="5D8AC2" w:sz="4" w:space="0"/>
        <w:insideH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V w:val="single" w:color="D99695" w:sz="4" w:space="0"/>
        <w:insideH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V w:val="single" w:color="9ABB59" w:sz="4" w:space="0"/>
        <w:insideH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V w:val="single" w:color="B2A1C6" w:sz="4" w:space="0"/>
        <w:insideH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V w:val="single" w:color="4BACC6" w:sz="4" w:space="0"/>
        <w:insideH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V w:val="single" w:color="F79646" w:sz="4" w:space="0"/>
        <w:insideH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6F6F6F" w:sz="4" w:space="0"/>
        <w:top w:val="single" w:color="6F6F6F" w:sz="4" w:space="0"/>
        <w:right w:val="single" w:color="6F6F6F" w:sz="4" w:space="0"/>
        <w:bottom w:val="single" w:color="6F6F6F" w:sz="4" w:space="0"/>
        <w:insideV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9BB7D9" w:sz="4" w:space="0"/>
        <w:top w:val="single" w:color="9BB7D9" w:sz="4" w:space="0"/>
        <w:right w:val="single" w:color="9BB7D9" w:sz="4" w:space="0"/>
        <w:bottom w:val="single" w:color="9BB7D9" w:sz="4" w:space="0"/>
        <w:insideV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DB9B9A" w:sz="4" w:space="0"/>
        <w:top w:val="single" w:color="DB9B9A" w:sz="4" w:space="0"/>
        <w:right w:val="single" w:color="DB9B9A" w:sz="4" w:space="0"/>
        <w:bottom w:val="single" w:color="DB9B9A" w:sz="4" w:space="0"/>
        <w:insideV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C6D8A1" w:sz="4" w:space="0"/>
        <w:top w:val="single" w:color="C6D8A1" w:sz="4" w:space="0"/>
        <w:right w:val="single" w:color="C6D8A1" w:sz="4" w:space="0"/>
        <w:bottom w:val="single" w:color="C6D8A1" w:sz="4" w:space="0"/>
        <w:insideV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B7A7CA" w:sz="4" w:space="0"/>
        <w:top w:val="single" w:color="B7A7CA" w:sz="4" w:space="0"/>
        <w:right w:val="single" w:color="B7A7CA" w:sz="4" w:space="0"/>
        <w:bottom w:val="single" w:color="B7A7CA" w:sz="4" w:space="0"/>
        <w:insideV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99D0DE" w:sz="4" w:space="0"/>
        <w:top w:val="single" w:color="99D0DE" w:sz="4" w:space="0"/>
        <w:right w:val="single" w:color="99D0DE" w:sz="4" w:space="0"/>
        <w:bottom w:val="single" w:color="99D0DE" w:sz="4" w:space="0"/>
        <w:insideV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left w:val="single" w:color="FAC396" w:sz="4" w:space="0"/>
        <w:top w:val="single" w:color="FAC396" w:sz="4" w:space="0"/>
        <w:right w:val="single" w:color="FAC396" w:sz="4" w:space="0"/>
        <w:bottom w:val="single" w:color="FAC396" w:sz="4" w:space="0"/>
        <w:insideV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FFFFF" w:sz="4" w:space="0"/>
        <w:top w:val="single" w:color="FFFFFF" w:sz="4" w:space="0"/>
        <w:right w:val="single" w:color="FFFFFF" w:sz="4" w:space="0"/>
        <w:bottom w:val="single" w:color="FFFFFF" w:sz="4" w:space="0"/>
        <w:insideV w:val="single" w:color="FFFFFF" w:sz="4" w:space="0"/>
        <w:insideH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7F7F7F" w:sz="4" w:space="0"/>
        <w:top w:val="single" w:color="7F7F7F" w:sz="4" w:space="0"/>
        <w:right w:val="single" w:color="7F7F7F" w:sz="4" w:space="0"/>
        <w:bottom w:val="single" w:color="7F7F7F" w:sz="4" w:space="0"/>
        <w:insideV w:val="single" w:color="7F7F7F" w:sz="4" w:space="0"/>
        <w:insideH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A6BFDD" w:sz="4" w:space="0"/>
        <w:top w:val="single" w:color="A6BFDD" w:sz="4" w:space="0"/>
        <w:right w:val="single" w:color="A6BFDD" w:sz="4" w:space="0"/>
        <w:bottom w:val="single" w:color="A6BFDD" w:sz="4" w:space="0"/>
        <w:insideV w:val="single" w:color="A6BFDD" w:sz="4" w:space="0"/>
        <w:insideH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99695" w:sz="4" w:space="0"/>
        <w:top w:val="single" w:color="D99695" w:sz="4" w:space="0"/>
        <w:right w:val="single" w:color="D99695" w:sz="4" w:space="0"/>
        <w:bottom w:val="single" w:color="D99695" w:sz="4" w:space="0"/>
        <w:insideV w:val="single" w:color="D99695" w:sz="4" w:space="0"/>
        <w:insideH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ABB59" w:sz="4" w:space="0"/>
        <w:top w:val="single" w:color="9ABB59" w:sz="4" w:space="0"/>
        <w:right w:val="single" w:color="9ABB59" w:sz="4" w:space="0"/>
        <w:bottom w:val="single" w:color="9ABB59" w:sz="4" w:space="0"/>
        <w:insideV w:val="single" w:color="9ABB59" w:sz="4" w:space="0"/>
        <w:insideH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2A1C6" w:sz="4" w:space="0"/>
        <w:top w:val="single" w:color="B2A1C6" w:sz="4" w:space="0"/>
        <w:right w:val="single" w:color="B2A1C6" w:sz="4" w:space="0"/>
        <w:bottom w:val="single" w:color="B2A1C6" w:sz="4" w:space="0"/>
        <w:insideV w:val="single" w:color="B2A1C6" w:sz="4" w:space="0"/>
        <w:insideH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4BACC6" w:sz="4" w:space="0"/>
        <w:top w:val="single" w:color="4BACC6" w:sz="4" w:space="0"/>
        <w:right w:val="single" w:color="4BACC6" w:sz="4" w:space="0"/>
        <w:bottom w:val="single" w:color="4BACC6" w:sz="4" w:space="0"/>
        <w:insideV w:val="single" w:color="4BACC6" w:sz="4" w:space="0"/>
        <w:insideH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79646" w:sz="4" w:space="0"/>
        <w:top w:val="single" w:color="F79646" w:sz="4" w:space="0"/>
        <w:right w:val="single" w:color="F79646" w:sz="4" w:space="0"/>
        <w:bottom w:val="single" w:color="F79646" w:sz="4" w:space="0"/>
        <w:insideV w:val="single" w:color="F79646" w:sz="4" w:space="0"/>
        <w:insideH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  <w:bottom w:val="single" w:color="7F7F7F" w:sz="4" w:space="0"/>
        <w:insideV w:val="single" w:color="7F7F7F" w:sz="4" w:space="0"/>
        <w:insideH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A6BFDD" w:sz="4" w:space="0"/>
        <w:bottom w:val="single" w:color="A6BFDD" w:sz="4" w:space="0"/>
        <w:insideV w:val="single" w:color="A6BFDD" w:sz="4" w:space="0"/>
        <w:insideH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  <w:bottom w:val="single" w:color="D99695" w:sz="4" w:space="0"/>
        <w:insideV w:val="single" w:color="D99695" w:sz="4" w:space="0"/>
        <w:insideH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ABB59" w:sz="4" w:space="0"/>
        <w:bottom w:val="single" w:color="9ABB59" w:sz="4" w:space="0"/>
        <w:insideV w:val="single" w:color="9ABB59" w:sz="4" w:space="0"/>
        <w:insideH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  <w:bottom w:val="single" w:color="B2A1C6" w:sz="4" w:space="0"/>
        <w:insideV w:val="single" w:color="B2A1C6" w:sz="4" w:space="0"/>
        <w:insideH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9D0DE" w:sz="4" w:space="0"/>
        <w:bottom w:val="single" w:color="99D0DE" w:sz="4" w:space="0"/>
        <w:insideV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396" w:sz="4" w:space="0"/>
        <w:bottom w:val="single" w:color="FAC396" w:sz="4" w:space="0"/>
        <w:insideV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4F81BD" w:sz="4" w:space="0"/>
        <w:top w:val="single" w:color="4F81BD" w:sz="4" w:space="0"/>
        <w:right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99695" w:sz="4" w:space="0"/>
        <w:top w:val="single" w:color="D99695" w:sz="4" w:space="0"/>
        <w:right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C3D69B" w:sz="4" w:space="0"/>
        <w:top w:val="single" w:color="C3D69B" w:sz="4" w:space="0"/>
        <w:right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2A1C6" w:sz="4" w:space="0"/>
        <w:top w:val="single" w:color="B2A1C6" w:sz="4" w:space="0"/>
        <w:right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2CCDC" w:sz="4" w:space="0"/>
        <w:top w:val="single" w:color="92CCDC" w:sz="4" w:space="0"/>
        <w:right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AC090" w:sz="4" w:space="0"/>
        <w:top w:val="single" w:color="FAC090" w:sz="4" w:space="0"/>
        <w:right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BB7D9" w:sz="4" w:space="0"/>
        <w:top w:val="single" w:color="9BB7D9" w:sz="4" w:space="0"/>
        <w:right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B9B9A" w:sz="4" w:space="0"/>
        <w:top w:val="single" w:color="DB9B9A" w:sz="4" w:space="0"/>
        <w:right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C6D8A1" w:sz="4" w:space="0"/>
        <w:top w:val="single" w:color="C6D8A1" w:sz="4" w:space="0"/>
        <w:right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7A7CA" w:sz="4" w:space="0"/>
        <w:top w:val="single" w:color="B7A7CA" w:sz="4" w:space="0"/>
        <w:right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9D0DE" w:sz="4" w:space="0"/>
        <w:top w:val="single" w:color="99D0DE" w:sz="4" w:space="0"/>
        <w:right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AC396" w:sz="4" w:space="0"/>
        <w:top w:val="single" w:color="FAC396" w:sz="4" w:space="0"/>
        <w:right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7F7F7F" w:sz="32" w:space="0"/>
        <w:top w:val="single" w:color="7F7F7F" w:sz="32" w:space="0"/>
        <w:right w:val="single" w:color="7F7F7F" w:sz="32" w:space="0"/>
        <w:bottom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4F81BD" w:sz="32" w:space="0"/>
        <w:top w:val="single" w:color="4F81BD" w:sz="32" w:space="0"/>
        <w:right w:val="single" w:color="4F81BD" w:sz="32" w:space="0"/>
        <w:bottom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99695" w:sz="32" w:space="0"/>
        <w:top w:val="single" w:color="D99695" w:sz="32" w:space="0"/>
        <w:right w:val="single" w:color="D99695" w:sz="32" w:space="0"/>
        <w:bottom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C3D69B" w:sz="32" w:space="0"/>
        <w:top w:val="single" w:color="C3D69B" w:sz="32" w:space="0"/>
        <w:right w:val="single" w:color="C3D69B" w:sz="32" w:space="0"/>
        <w:bottom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2A1C6" w:sz="32" w:space="0"/>
        <w:top w:val="single" w:color="B2A1C6" w:sz="32" w:space="0"/>
        <w:right w:val="single" w:color="B2A1C6" w:sz="32" w:space="0"/>
        <w:bottom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92CCDC" w:sz="32" w:space="0"/>
        <w:top w:val="single" w:color="92CCDC" w:sz="32" w:space="0"/>
        <w:right w:val="single" w:color="92CCDC" w:sz="32" w:space="0"/>
        <w:bottom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AC090" w:sz="32" w:space="0"/>
        <w:top w:val="single" w:color="FAC090" w:sz="32" w:space="0"/>
        <w:right w:val="single" w:color="FAC090" w:sz="32" w:space="0"/>
        <w:bottom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A4A71" w:sz="4" w:space="0"/>
        <w:top w:val="single" w:color="2A4A71" w:sz="4" w:space="0"/>
        <w:right w:val="single" w:color="2A4A71" w:sz="4" w:space="0"/>
        <w:bottom w:val="single" w:color="2A4A71" w:sz="4" w:space="0"/>
        <w:insideV w:val="single" w:color="2A4A71" w:sz="4" w:space="0"/>
        <w:insideH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732A29" w:sz="4" w:space="0"/>
        <w:top w:val="single" w:color="732A29" w:sz="4" w:space="0"/>
        <w:right w:val="single" w:color="732A29" w:sz="4" w:space="0"/>
        <w:bottom w:val="single" w:color="732A29" w:sz="4" w:space="0"/>
        <w:insideV w:val="single" w:color="732A29" w:sz="4" w:space="0"/>
        <w:insideH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B722E" w:sz="4" w:space="0"/>
        <w:top w:val="single" w:color="5B722E" w:sz="4" w:space="0"/>
        <w:right w:val="single" w:color="5B722E" w:sz="4" w:space="0"/>
        <w:bottom w:val="single" w:color="5B722E" w:sz="4" w:space="0"/>
        <w:insideV w:val="single" w:color="5B722E" w:sz="4" w:space="0"/>
        <w:insideH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4A395F" w:sz="4" w:space="0"/>
        <w:top w:val="single" w:color="4A395F" w:sz="4" w:space="0"/>
        <w:right w:val="single" w:color="4A395F" w:sz="4" w:space="0"/>
        <w:bottom w:val="single" w:color="4A395F" w:sz="4" w:space="0"/>
        <w:insideV w:val="single" w:color="4A395F" w:sz="4" w:space="0"/>
        <w:insideH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66779" w:sz="4" w:space="0"/>
        <w:top w:val="single" w:color="266779" w:sz="4" w:space="0"/>
        <w:right w:val="single" w:color="266779" w:sz="4" w:space="0"/>
        <w:bottom w:val="single" w:color="266779" w:sz="4" w:space="0"/>
        <w:insideV w:val="single" w:color="266779" w:sz="4" w:space="0"/>
        <w:insideH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B15407" w:sz="4" w:space="0"/>
        <w:top w:val="single" w:color="B15407" w:sz="4" w:space="0"/>
        <w:right w:val="single" w:color="B15407" w:sz="4" w:space="0"/>
        <w:bottom w:val="single" w:color="B15407" w:sz="4" w:space="0"/>
        <w:insideV w:val="single" w:color="B15407" w:sz="4" w:space="0"/>
        <w:insideH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7CBE4" w:sz="4" w:space="0"/>
        <w:top w:val="single" w:color="B7CBE4" w:sz="4" w:space="0"/>
        <w:right w:val="single" w:color="B7CBE4" w:sz="4" w:space="0"/>
        <w:bottom w:val="single" w:color="B7CBE4" w:sz="4" w:space="0"/>
        <w:insideV w:val="single" w:color="B7CBE4" w:sz="4" w:space="0"/>
        <w:insideH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E5B7B6" w:sz="4" w:space="0"/>
        <w:top w:val="single" w:color="E5B7B6" w:sz="4" w:space="0"/>
        <w:right w:val="single" w:color="E5B7B6" w:sz="4" w:space="0"/>
        <w:bottom w:val="single" w:color="E5B7B6" w:sz="4" w:space="0"/>
        <w:insideV w:val="single" w:color="E5B7B6" w:sz="4" w:space="0"/>
        <w:insideH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D6E3BB" w:sz="4" w:space="0"/>
        <w:top w:val="single" w:color="D6E3BB" w:sz="4" w:space="0"/>
        <w:right w:val="single" w:color="D6E3BB" w:sz="4" w:space="0"/>
        <w:bottom w:val="single" w:color="D6E3BB" w:sz="4" w:space="0"/>
        <w:insideV w:val="single" w:color="D6E3BB" w:sz="4" w:space="0"/>
        <w:insideH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CBC0D9" w:sz="4" w:space="0"/>
        <w:top w:val="single" w:color="CBC0D9" w:sz="4" w:space="0"/>
        <w:right w:val="single" w:color="CBC0D9" w:sz="4" w:space="0"/>
        <w:bottom w:val="single" w:color="CBC0D9" w:sz="4" w:space="0"/>
        <w:insideV w:val="single" w:color="CBC0D9" w:sz="4" w:space="0"/>
        <w:insideH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5">
    <w:name w:val="Hyperlink"/>
    <w:rPr>
      <w:color w:val="000080"/>
      <w:u w:val="single"/>
      <w:lang w:val="en-US" w:bidi="en-US" w:eastAsia="en-US"/>
    </w:rPr>
  </w:style>
  <w:style w:type="paragraph" w:styleId="886">
    <w:name w:val="footnote text"/>
    <w:link w:val="887"/>
    <w:uiPriority w:val="99"/>
    <w:semiHidden/>
    <w:unhideWhenUsed/>
    <w:rPr>
      <w:sz w:val="18"/>
    </w:rPr>
    <w:pPr>
      <w:spacing w:after="40"/>
    </w:pPr>
  </w:style>
  <w:style w:type="character" w:styleId="887" w:customStyle="1">
    <w:name w:val="Текст сноски Знак"/>
    <w:link w:val="886"/>
    <w:uiPriority w:val="99"/>
    <w:semiHidden/>
    <w:rPr>
      <w:sz w:val="18"/>
      <w:lang w:bidi="ar-SA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link w:val="890"/>
    <w:uiPriority w:val="99"/>
    <w:semiHidden/>
    <w:unhideWhenUsed/>
    <w:rPr>
      <w:lang w:eastAsia="zh-CN"/>
    </w:rPr>
  </w:style>
  <w:style w:type="character" w:styleId="890" w:customStyle="1">
    <w:name w:val="Текст концевой сноски Знак"/>
    <w:link w:val="889"/>
    <w:uiPriority w:val="99"/>
    <w:semiHidden/>
    <w:rPr>
      <w:lang w:val="ru-RU" w:bidi="ar-SA" w:eastAsia="zh-CN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uiPriority w:val="39"/>
    <w:unhideWhenUsed/>
    <w:rPr>
      <w:lang w:eastAsia="zh-CN"/>
    </w:rPr>
    <w:pPr>
      <w:spacing w:after="57"/>
    </w:pPr>
  </w:style>
  <w:style w:type="paragraph" w:styleId="893">
    <w:name w:val="toc 2"/>
    <w:uiPriority w:val="39"/>
    <w:unhideWhenUsed/>
    <w:rPr>
      <w:lang w:eastAsia="zh-CN"/>
    </w:rPr>
    <w:pPr>
      <w:ind w:left="283"/>
      <w:spacing w:after="57"/>
    </w:pPr>
  </w:style>
  <w:style w:type="paragraph" w:styleId="894">
    <w:name w:val="toc 3"/>
    <w:uiPriority w:val="39"/>
    <w:unhideWhenUsed/>
    <w:rPr>
      <w:lang w:eastAsia="zh-CN"/>
    </w:rPr>
    <w:pPr>
      <w:ind w:left="567"/>
      <w:spacing w:after="57"/>
    </w:pPr>
  </w:style>
  <w:style w:type="paragraph" w:styleId="895">
    <w:name w:val="toc 4"/>
    <w:uiPriority w:val="39"/>
    <w:unhideWhenUsed/>
    <w:rPr>
      <w:lang w:eastAsia="zh-CN"/>
    </w:rPr>
    <w:pPr>
      <w:ind w:left="850"/>
      <w:spacing w:after="57"/>
    </w:pPr>
  </w:style>
  <w:style w:type="paragraph" w:styleId="896">
    <w:name w:val="toc 5"/>
    <w:uiPriority w:val="39"/>
    <w:unhideWhenUsed/>
    <w:rPr>
      <w:lang w:eastAsia="zh-CN"/>
    </w:rPr>
    <w:pPr>
      <w:ind w:left="1134"/>
      <w:spacing w:after="57"/>
    </w:pPr>
  </w:style>
  <w:style w:type="paragraph" w:styleId="897">
    <w:name w:val="toc 6"/>
    <w:uiPriority w:val="39"/>
    <w:unhideWhenUsed/>
    <w:rPr>
      <w:lang w:eastAsia="zh-CN"/>
    </w:rPr>
    <w:pPr>
      <w:ind w:left="1417"/>
      <w:spacing w:after="57"/>
    </w:pPr>
  </w:style>
  <w:style w:type="paragraph" w:styleId="898">
    <w:name w:val="toc 7"/>
    <w:uiPriority w:val="39"/>
    <w:unhideWhenUsed/>
    <w:rPr>
      <w:lang w:eastAsia="zh-CN"/>
    </w:rPr>
    <w:pPr>
      <w:ind w:left="1701"/>
      <w:spacing w:after="57"/>
    </w:pPr>
  </w:style>
  <w:style w:type="paragraph" w:styleId="899">
    <w:name w:val="toc 8"/>
    <w:uiPriority w:val="39"/>
    <w:unhideWhenUsed/>
    <w:rPr>
      <w:lang w:eastAsia="zh-CN"/>
    </w:rPr>
    <w:pPr>
      <w:ind w:left="1984"/>
      <w:spacing w:after="57"/>
    </w:pPr>
  </w:style>
  <w:style w:type="paragraph" w:styleId="900">
    <w:name w:val="toc 9"/>
    <w:uiPriority w:val="39"/>
    <w:unhideWhenUsed/>
    <w:rPr>
      <w:lang w:eastAsia="zh-CN"/>
    </w:rPr>
    <w:pPr>
      <w:ind w:left="2268"/>
      <w:spacing w:after="57"/>
    </w:pPr>
  </w:style>
  <w:style w:type="paragraph" w:styleId="901">
    <w:name w:val="TOC Heading"/>
    <w:uiPriority w:val="39"/>
    <w:unhideWhenUsed/>
    <w:rPr>
      <w:lang w:eastAsia="zh-CN"/>
    </w:rPr>
  </w:style>
  <w:style w:type="paragraph" w:styleId="902">
    <w:name w:val="table of figures"/>
    <w:uiPriority w:val="99"/>
    <w:unhideWhenUsed/>
    <w:rPr>
      <w:lang w:eastAsia="zh-CN"/>
    </w:rPr>
  </w:style>
  <w:style w:type="paragraph" w:styleId="903" w:customStyle="1">
    <w:name w:val="ConsNormal"/>
    <w:rPr>
      <w:rFonts w:ascii="Arial" w:hAnsi="Arial" w:eastAsia="Arial"/>
      <w:lang w:eastAsia="ar-SA"/>
    </w:rPr>
    <w:pPr>
      <w:ind w:right="19772" w:firstLine="720"/>
      <w:widowControl w:val="off"/>
    </w:pPr>
  </w:style>
  <w:style w:type="paragraph" w:styleId="904" w:customStyle="1">
    <w:name w:val="Heading 1"/>
    <w:next w:val="722"/>
    <w:link w:val="726"/>
    <w:rPr>
      <w:rFonts w:ascii="Arial" w:hAnsi="Arial" w:eastAsia="Lucida Sans Unicode"/>
      <w:sz w:val="24"/>
      <w:szCs w:val="24"/>
      <w:lang w:eastAsia="en-US"/>
    </w:rPr>
    <w:pPr>
      <w:widowControl w:val="off"/>
    </w:pPr>
  </w:style>
  <w:style w:type="character" w:styleId="905">
    <w:name w:val="Strong"/>
    <w:rPr>
      <w:b/>
      <w:bCs/>
    </w:rPr>
  </w:style>
  <w:style w:type="paragraph" w:styleId="906">
    <w:name w:val="Balloon Text"/>
    <w:basedOn w:val="722"/>
    <w:link w:val="907"/>
    <w:rPr>
      <w:rFonts w:ascii="Segoe UI" w:hAnsi="Segoe UI" w:eastAsia="Lucida Sans Unicode"/>
      <w:sz w:val="18"/>
      <w:szCs w:val="18"/>
      <w:lang w:eastAsia="en-US"/>
    </w:rPr>
  </w:style>
  <w:style w:type="character" w:styleId="907" w:customStyle="1">
    <w:name w:val="Текст выноски Знак"/>
    <w:link w:val="906"/>
    <w:rPr>
      <w:rFonts w:ascii="Segoe UI" w:hAnsi="Segoe UI" w:eastAsia="Lucida Sans Unicode"/>
      <w:sz w:val="18"/>
      <w:szCs w:val="18"/>
      <w:lang w:eastAsia="en-US"/>
    </w:rPr>
  </w:style>
  <w:style w:type="paragraph" w:styleId="908" w:customStyle="1">
    <w:name w:val="ConsPlusNormal"/>
    <w:link w:val="916"/>
    <w:rPr>
      <w:sz w:val="26"/>
      <w:szCs w:val="26"/>
    </w:rPr>
  </w:style>
  <w:style w:type="paragraph" w:styleId="909" w:customStyle="1">
    <w:name w:val="ConsPlusNonformat"/>
    <w:rPr>
      <w:rFonts w:ascii="Courier New" w:hAnsi="Courier New"/>
    </w:rPr>
    <w:pPr>
      <w:widowControl w:val="off"/>
    </w:pPr>
  </w:style>
  <w:style w:type="paragraph" w:styleId="910" w:customStyle="1">
    <w:name w:val="Default"/>
    <w:rPr>
      <w:color w:val="000000"/>
      <w:sz w:val="24"/>
      <w:szCs w:val="24"/>
    </w:rPr>
  </w:style>
  <w:style w:type="paragraph" w:styleId="911">
    <w:name w:val="Header"/>
    <w:basedOn w:val="722"/>
    <w:link w:val="912"/>
    <w:rPr>
      <w:rFonts w:ascii="Arial" w:hAnsi="Arial" w:eastAsia="Lucida Sans Unicode"/>
      <w:sz w:val="24"/>
      <w:szCs w:val="24"/>
      <w:lang w:eastAsia="en-US"/>
    </w:rPr>
    <w:pPr>
      <w:tabs>
        <w:tab w:val="center" w:pos="4677" w:leader="none"/>
        <w:tab w:val="right" w:pos="9355" w:leader="none"/>
      </w:tabs>
    </w:pPr>
  </w:style>
  <w:style w:type="character" w:styleId="912" w:customStyle="1">
    <w:name w:val="Верхний колонтитул Знак"/>
    <w:link w:val="911"/>
    <w:rPr>
      <w:rFonts w:ascii="Arial" w:hAnsi="Arial" w:eastAsia="Lucida Sans Unicode"/>
      <w:sz w:val="24"/>
      <w:szCs w:val="24"/>
      <w:lang w:eastAsia="en-US"/>
    </w:rPr>
  </w:style>
  <w:style w:type="paragraph" w:styleId="913">
    <w:name w:val="Footer"/>
    <w:basedOn w:val="722"/>
    <w:link w:val="914"/>
    <w:rPr>
      <w:rFonts w:ascii="Arial" w:hAnsi="Arial" w:eastAsia="Lucida Sans Unicode"/>
      <w:sz w:val="24"/>
      <w:szCs w:val="24"/>
      <w:lang w:eastAsia="en-US"/>
    </w:rPr>
    <w:pPr>
      <w:tabs>
        <w:tab w:val="center" w:pos="4677" w:leader="none"/>
        <w:tab w:val="right" w:pos="9355" w:leader="none"/>
      </w:tabs>
    </w:pPr>
  </w:style>
  <w:style w:type="character" w:styleId="914" w:customStyle="1">
    <w:name w:val="Нижний колонтитул Знак"/>
    <w:link w:val="913"/>
    <w:rPr>
      <w:rFonts w:ascii="Arial" w:hAnsi="Arial" w:eastAsia="Lucida Sans Unicode"/>
      <w:sz w:val="24"/>
      <w:szCs w:val="24"/>
      <w:lang w:eastAsia="en-US"/>
    </w:rPr>
  </w:style>
  <w:style w:type="paragraph" w:styleId="915">
    <w:name w:val="Normal (Web)"/>
    <w:basedOn w:val="722"/>
    <w:rPr>
      <w:sz w:val="24"/>
      <w:lang w:eastAsia="ru-RU"/>
    </w:rPr>
    <w:pPr>
      <w:spacing w:after="100" w:afterAutospacing="1" w:before="100" w:beforeAutospacing="1"/>
    </w:pPr>
  </w:style>
  <w:style w:type="character" w:styleId="916" w:customStyle="1">
    <w:name w:val="ConsPlusNormal1"/>
    <w:link w:val="908"/>
    <w:rPr>
      <w:sz w:val="26"/>
      <w:szCs w:val="26"/>
      <w:lang w:bidi="ar-SA"/>
    </w:rPr>
  </w:style>
  <w:style w:type="paragraph" w:styleId="917" w:customStyle="1">
    <w:name w:val="ConsPlusTitle"/>
    <w:rPr>
      <w:rFonts w:ascii="Calibri" w:hAnsi="Calibri"/>
      <w:b/>
      <w:sz w:val="22"/>
    </w:rPr>
    <w:pPr>
      <w:widowControl w:val="off"/>
    </w:pPr>
  </w:style>
  <w:style w:type="paragraph" w:styleId="918" w:customStyle="1">
    <w:name w:val="p6"/>
    <w:basedOn w:val="722"/>
    <w:rPr>
      <w:sz w:val="24"/>
      <w:lang w:eastAsia="ru-RU"/>
    </w:rPr>
    <w:pPr>
      <w:spacing w:after="100" w:afterAutospacing="1" w:before="100" w:beforeAutospacing="1"/>
    </w:pPr>
  </w:style>
  <w:style w:type="paragraph" w:styleId="919">
    <w:name w:val="Обычный (веб)"/>
    <w:basedOn w:val="859"/>
    <w:link w:val="859"/>
    <w:semiHidden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00" w:afterAutospacing="1" w:before="100" w:beforeAutospacing="1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s://login.consultant.ru/link/?req=doc&amp;base=LAW&amp;n=499669&amp;date=30.09.2025&amp;dst=100225&amp;field=134" TargetMode="External"/><Relationship Id="rId13" Type="http://schemas.openxmlformats.org/officeDocument/2006/relationships/hyperlink" Target="https://login.consultant.ru/link/?req=doc&amp;base=LAW&amp;n=499669&amp;date=30.09.2025&amp;dst=101366&amp;field=134" TargetMode="External"/><Relationship Id="rId14" Type="http://schemas.openxmlformats.org/officeDocument/2006/relationships/hyperlink" Target="https://login.consultant.ru/link/?req=doc&amp;base=LAW&amp;n=499669&amp;date=30.09.2025&amp;dst=101391&amp;field=134" TargetMode="External"/><Relationship Id="rId15" Type="http://schemas.openxmlformats.org/officeDocument/2006/relationships/hyperlink" Target="https://login.consultant.ru/link/?req=doc&amp;base=LAW&amp;n=499669&amp;date=30.09.2025" TargetMode="External"/><Relationship Id="rId16" Type="http://schemas.openxmlformats.org/officeDocument/2006/relationships/hyperlink" Target="https://login.consultant.ru/link/?req=doc&amp;base=LAW&amp;n=499669&amp;date=30.09.2025&amp;dst=100996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created xsi:type="dcterms:W3CDTF">2024-09-23T12:45:00Z</dcterms:created>
  <dcterms:modified xsi:type="dcterms:W3CDTF">2025-12-19T09:10:48Z</dcterms:modified>
</cp:coreProperties>
</file>