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870C" w14:textId="77777777" w:rsidR="00425E33" w:rsidRPr="00425E33" w:rsidRDefault="00425E33" w:rsidP="00425E33">
      <w:pPr>
        <w:pStyle w:val="a8"/>
        <w:spacing w:after="0" w:line="240" w:lineRule="auto"/>
        <w:ind w:left="284" w:firstLine="45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Белгородской области на фоне России и регионов Центрального </w:t>
      </w:r>
      <w:r w:rsidRPr="00425E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федерального округа </w:t>
      </w:r>
      <w:r w:rsidRPr="00425E33">
        <w:rPr>
          <w:rFonts w:ascii="Times New Roman" w:hAnsi="Times New Roman" w:cs="Times New Roman"/>
          <w:b/>
          <w:color w:val="000000"/>
          <w:sz w:val="26"/>
          <w:szCs w:val="26"/>
        </w:rPr>
        <w:br/>
        <w:t>в январе-сентябре 2022 года</w:t>
      </w:r>
    </w:p>
    <w:p w14:paraId="0E7EAF67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sz w:val="26"/>
          <w:szCs w:val="26"/>
        </w:rPr>
        <w:t>По данным Белгородстата п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о итогам работы за январь-сентябрь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январем-сентябрем 2021 года составил 100,4%, в среднем по регионам Центрального федерального округа (ЦФО) – 103,7%, в Белгородской области – 101,6%. </w:t>
      </w:r>
    </w:p>
    <w:p w14:paraId="2D1BC64E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объему отгруженных товаров собственного производства, выполненных работ и услуг собственными силами в январе-сентябре 2022 года в расчете на душу населения по виду экономической деятельности "Добыча полезных ископаемых" (131,3 тыс. рублей) Белгородская область среди регионов ЦФО занимает лидирующее положение;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по виду деятельности "Обрабатывающие производства" Белгородскую область (519,3 тыс. рублей) опережают Липецкая (724,8 тыс. рублей), Калужская (649,7 тыс. рублей),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Тульская (581,2 тыс. рублей) области и г. Москва (567,6 тыс. рублей).</w:t>
      </w:r>
    </w:p>
    <w:p w14:paraId="1D93678B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>В январе-сентябре 2022 года в области за счет всех источников финансирования сдано в эксплуатацию 642,6 тыс. м</w:t>
      </w:r>
      <w:r w:rsidRPr="00425E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жилых помещений, или 84,7% к уровню января-сентября 2021 года. </w:t>
      </w:r>
      <w:r w:rsidRPr="00425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долю области приходится 2,5% от сданной в 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>эксплуатацию</w:t>
      </w:r>
      <w:r w:rsidRPr="00425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общей площади</w:t>
      </w:r>
      <w:r w:rsidRPr="00425E33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жилья по ЦФО и 0,8</w:t>
      </w:r>
      <w:r w:rsidRPr="00425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% 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25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Pr="00425E33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России в целом.</w:t>
      </w:r>
    </w:p>
    <w:p w14:paraId="3AF804BB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Объем введенного жилья в расчете на 1000 человек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в среднем по России составил 543,7 м</w:t>
      </w:r>
      <w:r w:rsidRPr="00425E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>, по регионам ЦФО – 660,2 м</w:t>
      </w:r>
      <w:r w:rsidRPr="00425E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>, в Белгородской области – 419,5 м</w:t>
      </w:r>
      <w:r w:rsidRPr="00425E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7DA4D7A" w14:textId="77777777" w:rsidR="00425E33" w:rsidRPr="00425E33" w:rsidRDefault="00425E33" w:rsidP="00425E33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6"/>
        </w:rPr>
      </w:pPr>
      <w:r w:rsidRPr="00425E33">
        <w:rPr>
          <w:color w:val="000000"/>
          <w:sz w:val="26"/>
          <w:szCs w:val="26"/>
        </w:rPr>
        <w:t>В январе-сентябре 2022 года в хозяйствах всех категорий Белгородской области произведено скота и птицы на убой (в живом весе) 1301,7 тыс. тонн (99,3% к уровню января-сентября 2021 года), 544,2 тыс. тонн молока (102,9%), 1232,4 млн штук яиц (101,1%).</w:t>
      </w:r>
    </w:p>
    <w:p w14:paraId="6CDB2F76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Белгородская область по объему производства скота и птицы на убой (в живом весе) в расчете на душу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(849,7 кг) занимает лидирующее положение среди регионов ЦФО. Объем производства молока в расчете на душу населения (в Белгородской области – 355,2 кг) больше в Рязанской (416,2 кг), Калужской (359,7 кг) и в Воронежской (355,7 кг) областях; яиц (804 штуки) – в Ярославской (1341 штука) и в </w:t>
      </w:r>
      <w:r w:rsidRPr="00425E3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Костромской (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>1133 штуки) областях.</w:t>
      </w:r>
    </w:p>
    <w:p w14:paraId="2FB8C285" w14:textId="77777777" w:rsidR="00425E33" w:rsidRPr="00425E33" w:rsidRDefault="00425E33" w:rsidP="00425E33">
      <w:pPr>
        <w:autoSpaceDE w:val="0"/>
        <w:autoSpaceDN w:val="0"/>
        <w:adjustRightInd w:val="0"/>
        <w:ind w:firstLine="680"/>
        <w:jc w:val="both"/>
        <w:rPr>
          <w:bCs/>
          <w:color w:val="000000"/>
          <w:sz w:val="26"/>
          <w:szCs w:val="26"/>
        </w:rPr>
      </w:pPr>
      <w:r w:rsidRPr="00425E33">
        <w:rPr>
          <w:bCs/>
          <w:color w:val="000000"/>
          <w:sz w:val="26"/>
          <w:szCs w:val="26"/>
        </w:rPr>
        <w:t xml:space="preserve">Оборот розничной торговли </w:t>
      </w:r>
      <w:r w:rsidRPr="00425E33">
        <w:rPr>
          <w:color w:val="000000"/>
          <w:sz w:val="26"/>
          <w:szCs w:val="26"/>
        </w:rPr>
        <w:t xml:space="preserve">в январе-сентябре 2022 года составил по области 327,0 млрд </w:t>
      </w:r>
      <w:r w:rsidRPr="00425E33">
        <w:rPr>
          <w:bCs/>
          <w:color w:val="000000"/>
          <w:sz w:val="26"/>
          <w:szCs w:val="26"/>
        </w:rPr>
        <w:t xml:space="preserve">рублей, оборот оптовой торговли – 673,3 млрд рублей. По предварительным данным, населению было оказано платных услуг на сумму 76,4 млрд рублей. </w:t>
      </w:r>
    </w:p>
    <w:p w14:paraId="5E0B3D82" w14:textId="77777777" w:rsidR="00425E33" w:rsidRPr="00425E33" w:rsidRDefault="00425E33" w:rsidP="00425E33">
      <w:pPr>
        <w:pStyle w:val="22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Оборот розничной торговли в расчете на душу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населения 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(в Белгородской области – 213,5 тыс. рублей) среди регионов ЦФО выше в г. Москве, в Московской, Воронежской и в Липецкой областях, оборот оптовой торговли в расчете на душу населения (в Белгородской области – 439,5 тыс. рублей) – в г. Москве, в Московской, </w:t>
      </w:r>
      <w:proofErr w:type="gramStart"/>
      <w:r w:rsidRPr="00425E33">
        <w:rPr>
          <w:rFonts w:ascii="Times New Roman" w:hAnsi="Times New Roman" w:cs="Times New Roman"/>
          <w:color w:val="000000"/>
          <w:sz w:val="26"/>
          <w:szCs w:val="26"/>
        </w:rPr>
        <w:t>Воронежской  и</w:t>
      </w:r>
      <w:proofErr w:type="gramEnd"/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в Смоленской областях. По объему платных услуг, оказанных на душу </w:t>
      </w:r>
      <w:r w:rsidRPr="00425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населения,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Белгородскую область (49,9 тыс. рублей) опережают г. Москва, Московская и Липецкая области. </w:t>
      </w:r>
    </w:p>
    <w:p w14:paraId="70439238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В январе-августе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425E33">
        <w:rPr>
          <w:rFonts w:ascii="Times New Roman" w:hAnsi="Times New Roman" w:cs="Times New Roman"/>
          <w:color w:val="000000"/>
          <w:sz w:val="26"/>
          <w:szCs w:val="26"/>
        </w:rPr>
        <w:t>некредитных</w:t>
      </w:r>
      <w:proofErr w:type="spellEnd"/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организаций) составил 204,0 млрд рублей. Среди регионов ЦФО по сальдированному финансовому результату в расчете на душу населения Белгородскую область 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lastRenderedPageBreak/>
        <w:t>(133,2 тыс. рублей) опережают г. Москва (368,6 тыс. рублей) и Липецкая область (192,0 тыс. рублей).</w:t>
      </w:r>
    </w:p>
    <w:p w14:paraId="6B4D610F" w14:textId="77777777" w:rsidR="00425E33" w:rsidRPr="00425E33" w:rsidRDefault="00425E33" w:rsidP="00425E33">
      <w:pPr>
        <w:pStyle w:val="22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 xml:space="preserve">Средняя номинальная начисленная заработная плата по полному кругу организаций Белгородской области в августе 2022 года составила 47313 рублей и по сравнению с августом 2021 года увеличилась на 16,4%, в целом по Российской Федерации – 59907 рублей (увеличение на 12,9%), по регионам ЦФО – 74173 рубля (на 9,8%). Самая высокая заработная плата среди регионов ЦФО отмечена в </w:t>
      </w:r>
      <w:r w:rsidRPr="00425E33">
        <w:rPr>
          <w:rFonts w:ascii="Times New Roman" w:hAnsi="Times New Roman" w:cs="Times New Roman"/>
          <w:color w:val="000000"/>
          <w:sz w:val="26"/>
          <w:szCs w:val="26"/>
        </w:rPr>
        <w:br/>
        <w:t>г. Москве (109060 рублей), в Московской (65718 рублей) и в Калужской (49193 рубля) областях.</w:t>
      </w:r>
    </w:p>
    <w:p w14:paraId="129159E3" w14:textId="77777777" w:rsidR="004F3691" w:rsidRDefault="00425E33" w:rsidP="00425E33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25E33">
        <w:rPr>
          <w:rFonts w:ascii="Times New Roman" w:hAnsi="Times New Roman" w:cs="Times New Roman"/>
          <w:color w:val="000000"/>
          <w:sz w:val="26"/>
          <w:szCs w:val="26"/>
        </w:rPr>
        <w:t>Демографическая ситуация в январе-августе 2022 года сложилась следующим образом. Общий коэффициент рождаемости в Белгородской области составил 7,2 родившихся на 1000 человек населения. Коэффициенты смертности населения (в Белгородской области – 14,6) ниже в г. Москве и в Московской области. Коэффициенты естественной убыли (в Белгородской области – 7,4) ниже в г. Москве, в Московской и в Калужской областях.</w:t>
      </w:r>
    </w:p>
    <w:p w14:paraId="6D32206B" w14:textId="77777777" w:rsidR="00425E33" w:rsidRPr="00425E33" w:rsidRDefault="00425E33" w:rsidP="00425E33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3712A999" w14:textId="77777777" w:rsidR="00AF6B87" w:rsidRDefault="00AF6B87" w:rsidP="005343EA">
      <w:pPr>
        <w:rPr>
          <w:sz w:val="16"/>
          <w:szCs w:val="16"/>
        </w:rPr>
      </w:pPr>
    </w:p>
    <w:p w14:paraId="62012ED1" w14:textId="1BE123D7" w:rsidR="004F79F7" w:rsidRPr="00DA453D" w:rsidRDefault="00617B8E" w:rsidP="004F79F7">
      <w:pPr>
        <w:contextualSpacing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14:paraId="26D42755" w14:textId="61A72B04" w:rsidR="006E1A27" w:rsidRPr="00DA453D" w:rsidRDefault="006E1A27" w:rsidP="00AF6B87">
      <w:pPr>
        <w:contextualSpacing/>
        <w:rPr>
          <w:sz w:val="16"/>
          <w:szCs w:val="16"/>
        </w:rPr>
      </w:pPr>
    </w:p>
    <w:sectPr w:rsidR="006E1A27" w:rsidRPr="00DA453D" w:rsidSect="00131047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A"/>
    <w:rsid w:val="000105A4"/>
    <w:rsid w:val="00013F30"/>
    <w:rsid w:val="00032773"/>
    <w:rsid w:val="00041995"/>
    <w:rsid w:val="00044097"/>
    <w:rsid w:val="00044EAC"/>
    <w:rsid w:val="0005464D"/>
    <w:rsid w:val="00074837"/>
    <w:rsid w:val="000753D9"/>
    <w:rsid w:val="00075EAA"/>
    <w:rsid w:val="00077243"/>
    <w:rsid w:val="000C3F1E"/>
    <w:rsid w:val="000C5E06"/>
    <w:rsid w:val="000D1B23"/>
    <w:rsid w:val="000D739B"/>
    <w:rsid w:val="000F0204"/>
    <w:rsid w:val="000F020D"/>
    <w:rsid w:val="00100585"/>
    <w:rsid w:val="0010215D"/>
    <w:rsid w:val="0010237E"/>
    <w:rsid w:val="00107116"/>
    <w:rsid w:val="00114B3A"/>
    <w:rsid w:val="00124763"/>
    <w:rsid w:val="00131047"/>
    <w:rsid w:val="001346E0"/>
    <w:rsid w:val="001357EF"/>
    <w:rsid w:val="001817CA"/>
    <w:rsid w:val="00187A0A"/>
    <w:rsid w:val="001906B1"/>
    <w:rsid w:val="00194703"/>
    <w:rsid w:val="001B0395"/>
    <w:rsid w:val="001B375A"/>
    <w:rsid w:val="001B6B27"/>
    <w:rsid w:val="001C0F7C"/>
    <w:rsid w:val="001D4B9A"/>
    <w:rsid w:val="001E086D"/>
    <w:rsid w:val="001E3FE5"/>
    <w:rsid w:val="001F6B14"/>
    <w:rsid w:val="00211735"/>
    <w:rsid w:val="00234D13"/>
    <w:rsid w:val="002353E6"/>
    <w:rsid w:val="0024699A"/>
    <w:rsid w:val="0025203E"/>
    <w:rsid w:val="0025487B"/>
    <w:rsid w:val="0025743C"/>
    <w:rsid w:val="00286DB3"/>
    <w:rsid w:val="002C1082"/>
    <w:rsid w:val="002D4248"/>
    <w:rsid w:val="002E2234"/>
    <w:rsid w:val="002E28B0"/>
    <w:rsid w:val="002F5B26"/>
    <w:rsid w:val="0030190D"/>
    <w:rsid w:val="0030538A"/>
    <w:rsid w:val="00311235"/>
    <w:rsid w:val="00317ABF"/>
    <w:rsid w:val="003262AB"/>
    <w:rsid w:val="00336561"/>
    <w:rsid w:val="00341318"/>
    <w:rsid w:val="00344298"/>
    <w:rsid w:val="003456FB"/>
    <w:rsid w:val="00372DC5"/>
    <w:rsid w:val="003B3755"/>
    <w:rsid w:val="003D11C3"/>
    <w:rsid w:val="004107D2"/>
    <w:rsid w:val="0041233B"/>
    <w:rsid w:val="00425E33"/>
    <w:rsid w:val="004438DF"/>
    <w:rsid w:val="00445BC0"/>
    <w:rsid w:val="00451D05"/>
    <w:rsid w:val="0045573B"/>
    <w:rsid w:val="004604E1"/>
    <w:rsid w:val="0046074C"/>
    <w:rsid w:val="004614D6"/>
    <w:rsid w:val="004644A9"/>
    <w:rsid w:val="00474F74"/>
    <w:rsid w:val="00480BDD"/>
    <w:rsid w:val="00480D69"/>
    <w:rsid w:val="00483CF1"/>
    <w:rsid w:val="00485F04"/>
    <w:rsid w:val="00494F38"/>
    <w:rsid w:val="00495D72"/>
    <w:rsid w:val="004B02BE"/>
    <w:rsid w:val="004C2BD9"/>
    <w:rsid w:val="004F3691"/>
    <w:rsid w:val="004F79F7"/>
    <w:rsid w:val="00504E86"/>
    <w:rsid w:val="005343EA"/>
    <w:rsid w:val="0054103F"/>
    <w:rsid w:val="00544849"/>
    <w:rsid w:val="00547C20"/>
    <w:rsid w:val="00567CE0"/>
    <w:rsid w:val="00591256"/>
    <w:rsid w:val="00592A50"/>
    <w:rsid w:val="005A2464"/>
    <w:rsid w:val="005A5C10"/>
    <w:rsid w:val="005B1BA2"/>
    <w:rsid w:val="005B1F66"/>
    <w:rsid w:val="005E6CAA"/>
    <w:rsid w:val="006035C4"/>
    <w:rsid w:val="00610096"/>
    <w:rsid w:val="00610A8E"/>
    <w:rsid w:val="00612B65"/>
    <w:rsid w:val="006145E9"/>
    <w:rsid w:val="00616C94"/>
    <w:rsid w:val="00617B8E"/>
    <w:rsid w:val="006247BD"/>
    <w:rsid w:val="00633F79"/>
    <w:rsid w:val="00637CEB"/>
    <w:rsid w:val="0064192D"/>
    <w:rsid w:val="00642BE0"/>
    <w:rsid w:val="006444FB"/>
    <w:rsid w:val="00646D9D"/>
    <w:rsid w:val="0064719F"/>
    <w:rsid w:val="00647700"/>
    <w:rsid w:val="006510B7"/>
    <w:rsid w:val="00666C4C"/>
    <w:rsid w:val="00684269"/>
    <w:rsid w:val="006978FE"/>
    <w:rsid w:val="006A305D"/>
    <w:rsid w:val="006C43CB"/>
    <w:rsid w:val="006C67F8"/>
    <w:rsid w:val="006D370B"/>
    <w:rsid w:val="006D5850"/>
    <w:rsid w:val="006E1A27"/>
    <w:rsid w:val="006E4791"/>
    <w:rsid w:val="006E686F"/>
    <w:rsid w:val="007072B4"/>
    <w:rsid w:val="007227BA"/>
    <w:rsid w:val="00731FCD"/>
    <w:rsid w:val="00733C7E"/>
    <w:rsid w:val="007519C9"/>
    <w:rsid w:val="0076013F"/>
    <w:rsid w:val="00763247"/>
    <w:rsid w:val="00780F5C"/>
    <w:rsid w:val="007816B1"/>
    <w:rsid w:val="00787604"/>
    <w:rsid w:val="007908B6"/>
    <w:rsid w:val="007A0501"/>
    <w:rsid w:val="007A2A91"/>
    <w:rsid w:val="007A4581"/>
    <w:rsid w:val="007A69B8"/>
    <w:rsid w:val="007B0485"/>
    <w:rsid w:val="007B34ED"/>
    <w:rsid w:val="007B4265"/>
    <w:rsid w:val="007E2E32"/>
    <w:rsid w:val="008028CA"/>
    <w:rsid w:val="0080757A"/>
    <w:rsid w:val="008343C1"/>
    <w:rsid w:val="00837463"/>
    <w:rsid w:val="00845AE4"/>
    <w:rsid w:val="00897DA6"/>
    <w:rsid w:val="008D5F14"/>
    <w:rsid w:val="008E5B32"/>
    <w:rsid w:val="008E787C"/>
    <w:rsid w:val="008F6EFF"/>
    <w:rsid w:val="00906008"/>
    <w:rsid w:val="0092428A"/>
    <w:rsid w:val="00930511"/>
    <w:rsid w:val="009318F1"/>
    <w:rsid w:val="009451B3"/>
    <w:rsid w:val="00946C58"/>
    <w:rsid w:val="00950B84"/>
    <w:rsid w:val="009542AA"/>
    <w:rsid w:val="00974618"/>
    <w:rsid w:val="0099473A"/>
    <w:rsid w:val="009B6E65"/>
    <w:rsid w:val="009B6FA7"/>
    <w:rsid w:val="009C13CF"/>
    <w:rsid w:val="009D3443"/>
    <w:rsid w:val="009D49E7"/>
    <w:rsid w:val="009E10FB"/>
    <w:rsid w:val="00A0161A"/>
    <w:rsid w:val="00A15285"/>
    <w:rsid w:val="00A15B17"/>
    <w:rsid w:val="00A225C0"/>
    <w:rsid w:val="00A250A2"/>
    <w:rsid w:val="00A57DEA"/>
    <w:rsid w:val="00A73C9B"/>
    <w:rsid w:val="00AB0B38"/>
    <w:rsid w:val="00AC1061"/>
    <w:rsid w:val="00AC16A5"/>
    <w:rsid w:val="00AC3923"/>
    <w:rsid w:val="00AC4304"/>
    <w:rsid w:val="00AC49DD"/>
    <w:rsid w:val="00AF3B7D"/>
    <w:rsid w:val="00AF592B"/>
    <w:rsid w:val="00AF5976"/>
    <w:rsid w:val="00AF6B87"/>
    <w:rsid w:val="00B0395A"/>
    <w:rsid w:val="00B17591"/>
    <w:rsid w:val="00B26223"/>
    <w:rsid w:val="00B441D5"/>
    <w:rsid w:val="00B50EDD"/>
    <w:rsid w:val="00B56F73"/>
    <w:rsid w:val="00B62034"/>
    <w:rsid w:val="00B6747C"/>
    <w:rsid w:val="00B772F6"/>
    <w:rsid w:val="00B777C1"/>
    <w:rsid w:val="00B86622"/>
    <w:rsid w:val="00B945EF"/>
    <w:rsid w:val="00BA5577"/>
    <w:rsid w:val="00BB1C2A"/>
    <w:rsid w:val="00BB4EF4"/>
    <w:rsid w:val="00BC012A"/>
    <w:rsid w:val="00BE1DF4"/>
    <w:rsid w:val="00BE1FA2"/>
    <w:rsid w:val="00C04181"/>
    <w:rsid w:val="00C228CC"/>
    <w:rsid w:val="00C25514"/>
    <w:rsid w:val="00C42236"/>
    <w:rsid w:val="00C53877"/>
    <w:rsid w:val="00C81FD4"/>
    <w:rsid w:val="00C858F5"/>
    <w:rsid w:val="00C91D0F"/>
    <w:rsid w:val="00CB39C3"/>
    <w:rsid w:val="00CC328D"/>
    <w:rsid w:val="00CD07F5"/>
    <w:rsid w:val="00CD0BEC"/>
    <w:rsid w:val="00CD19E6"/>
    <w:rsid w:val="00CD41C7"/>
    <w:rsid w:val="00CE28DF"/>
    <w:rsid w:val="00CF4C72"/>
    <w:rsid w:val="00D03120"/>
    <w:rsid w:val="00D03958"/>
    <w:rsid w:val="00D05CD9"/>
    <w:rsid w:val="00D07AE5"/>
    <w:rsid w:val="00D15D47"/>
    <w:rsid w:val="00D27304"/>
    <w:rsid w:val="00D320A4"/>
    <w:rsid w:val="00D625AD"/>
    <w:rsid w:val="00D71B79"/>
    <w:rsid w:val="00D76571"/>
    <w:rsid w:val="00D879B1"/>
    <w:rsid w:val="00D94E82"/>
    <w:rsid w:val="00D956B3"/>
    <w:rsid w:val="00D95C88"/>
    <w:rsid w:val="00D97B4F"/>
    <w:rsid w:val="00DA40C1"/>
    <w:rsid w:val="00DA453D"/>
    <w:rsid w:val="00DF00D0"/>
    <w:rsid w:val="00E52A3D"/>
    <w:rsid w:val="00E67EC3"/>
    <w:rsid w:val="00E9273A"/>
    <w:rsid w:val="00E94410"/>
    <w:rsid w:val="00EA6ECF"/>
    <w:rsid w:val="00EB2E8F"/>
    <w:rsid w:val="00EC30E6"/>
    <w:rsid w:val="00EE1977"/>
    <w:rsid w:val="00F13B49"/>
    <w:rsid w:val="00F2631B"/>
    <w:rsid w:val="00F375B0"/>
    <w:rsid w:val="00F55C58"/>
    <w:rsid w:val="00F66D2D"/>
    <w:rsid w:val="00F823A1"/>
    <w:rsid w:val="00F92725"/>
    <w:rsid w:val="00F935AC"/>
    <w:rsid w:val="00FA2E07"/>
    <w:rsid w:val="00FD69D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E4F3"/>
  <w15:docId w15:val="{8C12D5FF-5075-4D31-B081-4E4B56C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2B4"/>
  </w:style>
  <w:style w:type="paragraph" w:styleId="1">
    <w:name w:val="heading 1"/>
    <w:basedOn w:val="a"/>
    <w:next w:val="a"/>
    <w:link w:val="10"/>
    <w:qFormat/>
    <w:rsid w:val="007072B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72B4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072B4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7072B4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72B4"/>
    <w:rPr>
      <w:bCs/>
      <w:sz w:val="24"/>
    </w:rPr>
  </w:style>
  <w:style w:type="table" w:styleId="a4">
    <w:name w:val="Table Grid"/>
    <w:basedOn w:val="a1"/>
    <w:rsid w:val="0084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686F"/>
    <w:rPr>
      <w:b/>
      <w:sz w:val="24"/>
    </w:rPr>
  </w:style>
  <w:style w:type="paragraph" w:styleId="20">
    <w:name w:val="Body Text 2"/>
    <w:basedOn w:val="a"/>
    <w:link w:val="21"/>
    <w:rsid w:val="00C228C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28CC"/>
  </w:style>
  <w:style w:type="character" w:styleId="a5">
    <w:name w:val="Strong"/>
    <w:basedOn w:val="a0"/>
    <w:uiPriority w:val="22"/>
    <w:qFormat/>
    <w:rsid w:val="0099473A"/>
    <w:rPr>
      <w:b/>
      <w:bCs/>
    </w:rPr>
  </w:style>
  <w:style w:type="character" w:styleId="a6">
    <w:name w:val="Hyperlink"/>
    <w:basedOn w:val="a0"/>
    <w:rsid w:val="0099473A"/>
    <w:rPr>
      <w:color w:val="0000FF"/>
      <w:u w:val="single"/>
    </w:rPr>
  </w:style>
  <w:style w:type="paragraph" w:customStyle="1" w:styleId="a7">
    <w:name w:val="Основной текст с красной"/>
    <w:basedOn w:val="a3"/>
    <w:rsid w:val="00BB4EF4"/>
    <w:pPr>
      <w:spacing w:before="60" w:after="20"/>
      <w:ind w:firstLine="454"/>
      <w:jc w:val="both"/>
    </w:pPr>
    <w:rPr>
      <w:bCs w:val="0"/>
    </w:rPr>
  </w:style>
  <w:style w:type="paragraph" w:styleId="a8">
    <w:name w:val="Body Text Indent"/>
    <w:basedOn w:val="a"/>
    <w:link w:val="a9"/>
    <w:uiPriority w:val="99"/>
    <w:unhideWhenUsed/>
    <w:rsid w:val="0010711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71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10711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071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1394-8AAD-44C9-85CE-180DF318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Облкомстат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Оскол</dc:creator>
  <cp:lastModifiedBy>Пользователь</cp:lastModifiedBy>
  <cp:revision>2</cp:revision>
  <cp:lastPrinted>2022-11-10T10:31:00Z</cp:lastPrinted>
  <dcterms:created xsi:type="dcterms:W3CDTF">2022-11-11T11:45:00Z</dcterms:created>
  <dcterms:modified xsi:type="dcterms:W3CDTF">2022-11-11T11:45:00Z</dcterms:modified>
</cp:coreProperties>
</file>