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pBdr/>
        <w:spacing/>
        <w:ind/>
        <w:jc w:val="center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Информационное сообщение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87"/>
        <w:pBdr/>
        <w:spacing/>
        <w:ind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7"/>
        <w:pBdr/>
        <w:spacing/>
        <w:ind w:firstLine="708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  <w:t xml:space="preserve">«Департамент имущественных и земельных отношений администрации Старооскольского городского округа в соответствии с Федеральным законом </w:t>
      </w:r>
      <w:r>
        <w:rPr>
          <w:sz w:val="26"/>
          <w:szCs w:val="26"/>
        </w:rPr>
        <w:t xml:space="preserve">                  от 22 июля 2008 года № 159 – ФЗ «Об особенностях отчуждения </w:t>
      </w:r>
      <w:r>
        <w:rPr>
          <w:sz w:val="26"/>
          <w:szCs w:val="26"/>
        </w:rPr>
        <w:t xml:space="preserve">движимого                    и </w:t>
      </w:r>
      <w:r>
        <w:rPr>
          <w:sz w:val="26"/>
          <w:szCs w:val="26"/>
        </w:rPr>
        <w:t xml:space="preserve">недвижимого имущества, находящегося в государственной собственности субъектов Российской Федерации или в муниципальной собственности </w:t>
      </w:r>
      <w:r>
        <w:rPr>
          <w:sz w:val="26"/>
          <w:szCs w:val="26"/>
        </w:rPr>
        <w:t xml:space="preserve">                               и арендуемого субъектами малого и среднего предпринимательства, и о внесении изменений в </w:t>
      </w:r>
      <w:r>
        <w:rPr>
          <w:sz w:val="26"/>
          <w:szCs w:val="26"/>
        </w:rPr>
        <w:t xml:space="preserve">отдельные законодательные акты Российской Федерации», сообщает </w:t>
      </w:r>
      <w:r>
        <w:rPr>
          <w:sz w:val="26"/>
          <w:szCs w:val="26"/>
        </w:rPr>
        <w:t xml:space="preserve">                                                       </w:t>
      </w:r>
      <w:r>
        <w:rPr>
          <w:sz w:val="26"/>
          <w:szCs w:val="26"/>
        </w:rPr>
        <w:t xml:space="preserve">о продаже </w:t>
      </w:r>
      <w:r>
        <w:rPr>
          <w:sz w:val="26"/>
          <w:szCs w:val="26"/>
        </w:rPr>
        <w:t xml:space="preserve">нежилого здания</w:t>
      </w:r>
      <w:r>
        <w:rPr>
          <w:sz w:val="26"/>
          <w:szCs w:val="26"/>
        </w:rPr>
        <w:t xml:space="preserve"> площадью 96,2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с кадастровым номером 31:05:1905001:116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нежилого здания</w:t>
      </w:r>
      <w:r>
        <w:rPr>
          <w:sz w:val="26"/>
          <w:szCs w:val="26"/>
        </w:rPr>
        <w:t xml:space="preserve"> площадью 146,6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 с кадастровым номером 31:05:1905001:65,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нежилое здания</w:t>
      </w:r>
      <w:r>
        <w:rPr>
          <w:sz w:val="26"/>
          <w:szCs w:val="26"/>
        </w:rPr>
        <w:t xml:space="preserve"> площадью 73,0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с кадастровым номером 31:05:1905001:95,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нежилого здания</w:t>
      </w:r>
      <w:r>
        <w:rPr>
          <w:sz w:val="26"/>
          <w:szCs w:val="26"/>
        </w:rPr>
        <w:t xml:space="preserve">  площадью 70,2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 с кадастровым номером 31:05:1905001:94, </w:t>
      </w:r>
      <w:r>
        <w:rPr>
          <w:sz w:val="26"/>
          <w:szCs w:val="26"/>
        </w:rPr>
        <w:t xml:space="preserve">нежилого здания</w:t>
      </w:r>
      <w:r>
        <w:rPr>
          <w:sz w:val="26"/>
          <w:szCs w:val="26"/>
        </w:rPr>
        <w:t xml:space="preserve"> площадью 15,8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 с кадастровым номером 31:05:1905001:110,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нежилое здание</w:t>
      </w:r>
      <w:r>
        <w:rPr>
          <w:sz w:val="26"/>
          <w:szCs w:val="26"/>
        </w:rPr>
        <w:t xml:space="preserve"> площадью 63,8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 с кадастровым номером 31:05:1905001:220, сооружения </w:t>
      </w:r>
      <w:r>
        <w:rPr>
          <w:sz w:val="26"/>
          <w:szCs w:val="26"/>
          <w:highlight w:val="white"/>
        </w:rPr>
        <w:t xml:space="preserve">площадь</w:t>
      </w:r>
      <w:r>
        <w:rPr>
          <w:sz w:val="26"/>
          <w:szCs w:val="26"/>
          <w:highlight w:val="white"/>
        </w:rPr>
        <w:t xml:space="preserve">ю 1,5 кв.м.</w:t>
      </w:r>
      <w:r>
        <w:rPr>
          <w:sz w:val="26"/>
          <w:szCs w:val="26"/>
          <w:highlight w:val="white"/>
        </w:rPr>
        <w:t xml:space="preserve">, с кадастровым номером 31:05:0101001:2906, с</w:t>
      </w:r>
      <w:r>
        <w:rPr>
          <w:sz w:val="26"/>
          <w:szCs w:val="26"/>
          <w:highlight w:val="white"/>
        </w:rPr>
        <w:t xml:space="preserve">ооружение с кадастровым номером </w:t>
      </w:r>
      <w:r>
        <w:rPr>
          <w:sz w:val="26"/>
          <w:szCs w:val="26"/>
          <w:highlight w:val="white"/>
        </w:rPr>
        <w:t xml:space="preserve">31:05:1905005:87 </w:t>
      </w:r>
      <w:r>
        <w:rPr>
          <w:sz w:val="26"/>
          <w:szCs w:val="26"/>
          <w:highlight w:val="white"/>
        </w:rPr>
        <w:t xml:space="preserve">расположенных на зем</w:t>
      </w:r>
      <w:r>
        <w:rPr>
          <w:sz w:val="26"/>
          <w:szCs w:val="26"/>
        </w:rPr>
        <w:t xml:space="preserve">ельном участке площадью 11647,0 кв.м., с кадастровым номером 31:05:1905005:86,</w:t>
      </w:r>
      <w:r>
        <w:rPr>
          <w:sz w:val="26"/>
          <w:szCs w:val="26"/>
        </w:rPr>
        <w:t xml:space="preserve"> по адресу: Белгородская область, Старооскольский городской округ, с. Анпиловка, ул. Железнодорожная, д.43,</w:t>
      </w:r>
      <w:r>
        <w:rPr>
          <w:sz w:val="26"/>
          <w:szCs w:val="26"/>
        </w:rPr>
        <w:t xml:space="preserve"> арендатору данного </w:t>
      </w:r>
      <w:r>
        <w:rPr>
          <w:sz w:val="26"/>
          <w:szCs w:val="26"/>
          <w:highlight w:val="white"/>
        </w:rPr>
        <w:t xml:space="preserve">муниципального имущества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</w:rPr>
        <w:t xml:space="preserve">ИП Позднееву А.В.</w:t>
      </w:r>
      <w:r>
        <w:rPr>
          <w:sz w:val="26"/>
          <w:szCs w:val="26"/>
        </w:rPr>
        <w:t xml:space="preserve">, имеющему преимущественное право выкупа и являющемуся субъектом малого </w:t>
      </w:r>
      <w:r>
        <w:rPr>
          <w:sz w:val="26"/>
          <w:szCs w:val="26"/>
        </w:rPr>
        <w:t xml:space="preserve">и среднего предпринимательства, </w:t>
      </w:r>
      <w:r>
        <w:rPr>
          <w:sz w:val="26"/>
          <w:szCs w:val="26"/>
        </w:rPr>
        <w:t xml:space="preserve">по цене, установленной в порядке определенном Федеральным законом от 29 июля 1998 года № 135 – ФЗ «Об оценочной деятельности в Российской Федерации»                                          и равной</w:t>
      </w:r>
      <w:r>
        <w:rPr>
          <w:sz w:val="26"/>
          <w:szCs w:val="26"/>
        </w:rPr>
        <w:t xml:space="preserve"> 3 539 444, 80 </w:t>
      </w:r>
      <w:r>
        <w:rPr>
          <w:sz w:val="26"/>
          <w:szCs w:val="26"/>
        </w:rPr>
        <w:t xml:space="preserve">рублей.».  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87"/>
        <w:pBdr/>
        <w:spacing/>
        <w:ind w:firstLine="708"/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7"/>
        <w:pBdr/>
        <w:spacing/>
        <w:ind w:right="0" w:firstLine="567" w:left="0"/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899" w:right="850" w:bottom="360" w:left="1701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Noto Sans Devanagari">
    <w:panose1 w:val="020B0502040504020204"/>
  </w:font>
  <w:font w:name="StarSymbol">
    <w:panose1 w:val="05040102010807070707"/>
  </w:font>
  <w:font w:name="Symbol">
    <w:panose1 w:val="05010000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88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>
    <w:name w:val="Table Grid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>
    <w:name w:val="Heading 1"/>
    <w:basedOn w:val="887"/>
    <w:next w:val="887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6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7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8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9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0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1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2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3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4" w:default="1">
    <w:name w:val="Default Paragraph Font"/>
    <w:uiPriority w:val="1"/>
    <w:semiHidden/>
    <w:unhideWhenUsed/>
    <w:pPr>
      <w:pBdr/>
      <w:spacing/>
      <w:ind/>
    </w:pPr>
  </w:style>
  <w:style w:type="numbering" w:styleId="835" w:default="1">
    <w:name w:val="No List"/>
    <w:uiPriority w:val="99"/>
    <w:semiHidden/>
    <w:unhideWhenUsed/>
    <w:pPr>
      <w:pBdr/>
      <w:spacing/>
      <w:ind/>
    </w:pPr>
  </w:style>
  <w:style w:type="character" w:styleId="836">
    <w:name w:val="Heading 1 Char"/>
    <w:basedOn w:val="834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34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34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34"/>
    <w:link w:val="8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34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34"/>
    <w:link w:val="8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34"/>
    <w:link w:val="8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34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34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34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34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34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3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34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3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3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3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34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34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3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table" w:styleId="88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 w:default="1">
    <w:name w:val="Normal"/>
    <w:next w:val="887"/>
    <w:link w:val="88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88">
    <w:name w:val="Заголовок 1"/>
    <w:basedOn w:val="887"/>
    <w:next w:val="887"/>
    <w:pPr>
      <w:keepNext w:val="true"/>
      <w:numPr>
        <w:ilvl w:val="0"/>
        <w:numId w:val="1"/>
      </w:numPr>
      <w:pBdr/>
      <w:spacing w:after="60" w:before="240"/>
      <w:ind/>
      <w:outlineLvl w:val="0"/>
    </w:pPr>
    <w:rPr>
      <w:rFonts w:ascii="Arial" w:hAnsi="Arial" w:cs="Arial"/>
      <w:b/>
      <w:bCs/>
      <w:sz w:val="32"/>
      <w:szCs w:val="32"/>
    </w:rPr>
  </w:style>
  <w:style w:type="character" w:styleId="889">
    <w:name w:val="WW8Num1z0"/>
    <w:next w:val="889"/>
    <w:link w:val="887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890">
    <w:name w:val="WW8Num2z0"/>
    <w:next w:val="890"/>
    <w:pPr>
      <w:pBdr/>
      <w:spacing/>
      <w:ind/>
    </w:pPr>
  </w:style>
  <w:style w:type="character" w:styleId="891">
    <w:name w:val="Основной шрифт абзаца"/>
    <w:next w:val="891"/>
    <w:link w:val="887"/>
    <w:pPr>
      <w:pBdr/>
      <w:spacing/>
      <w:ind/>
    </w:pPr>
  </w:style>
  <w:style w:type="character" w:styleId="892">
    <w:name w:val="Основной текст Знак"/>
    <w:basedOn w:val="891"/>
    <w:next w:val="892"/>
    <w:link w:val="887"/>
    <w:pPr>
      <w:pBdr/>
      <w:spacing/>
      <w:ind/>
    </w:pPr>
  </w:style>
  <w:style w:type="character" w:styleId="893">
    <w:name w:val="extended-text__short"/>
    <w:basedOn w:val="891"/>
    <w:next w:val="893"/>
    <w:link w:val="887"/>
    <w:pPr>
      <w:pBdr/>
      <w:spacing/>
      <w:ind/>
    </w:pPr>
  </w:style>
  <w:style w:type="character" w:styleId="894">
    <w:name w:val="Интернет-ссылка"/>
    <w:basedOn w:val="891"/>
    <w:next w:val="894"/>
    <w:link w:val="887"/>
    <w:pPr>
      <w:pBdr/>
      <w:spacing/>
      <w:ind/>
    </w:pPr>
    <w:rPr>
      <w:color w:val="0000ff"/>
      <w:u w:val="single"/>
    </w:rPr>
  </w:style>
  <w:style w:type="paragraph" w:styleId="895">
    <w:name w:val="Заголовок"/>
    <w:basedOn w:val="887"/>
    <w:next w:val="896"/>
    <w:link w:val="887"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896">
    <w:name w:val="Основной текст"/>
    <w:basedOn w:val="887"/>
    <w:next w:val="896"/>
    <w:pPr>
      <w:pBdr/>
      <w:spacing w:after="120" w:before="0"/>
      <w:ind/>
    </w:pPr>
  </w:style>
  <w:style w:type="paragraph" w:styleId="897">
    <w:name w:val="Список"/>
    <w:basedOn w:val="896"/>
    <w:next w:val="897"/>
    <w:link w:val="887"/>
    <w:pPr>
      <w:pBdr/>
      <w:spacing/>
      <w:ind/>
    </w:pPr>
    <w:rPr>
      <w:rFonts w:ascii="PT Astra Serif" w:hAnsi="PT Astra Serif" w:cs="Noto Sans Devanagari"/>
    </w:rPr>
  </w:style>
  <w:style w:type="paragraph" w:styleId="898">
    <w:name w:val="Название"/>
    <w:basedOn w:val="887"/>
    <w:next w:val="898"/>
    <w:link w:val="887"/>
    <w:pPr>
      <w:suppressLineNumbers w:val="true"/>
      <w:pBdr/>
      <w:spacing w:after="120" w:before="120"/>
      <w:ind/>
    </w:pPr>
    <w:rPr>
      <w:rFonts w:ascii="PT Astra Serif" w:hAnsi="PT Astra Serif" w:cs="Noto Sans Devanagari"/>
      <w:i/>
      <w:iCs/>
      <w:sz w:val="24"/>
      <w:szCs w:val="24"/>
    </w:rPr>
  </w:style>
  <w:style w:type="paragraph" w:styleId="899">
    <w:name w:val="Указатель"/>
    <w:basedOn w:val="887"/>
    <w:next w:val="899"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900">
    <w:name w:val="Знак Знак Знак Знак Знак Знак"/>
    <w:basedOn w:val="887"/>
    <w:next w:val="888"/>
    <w:link w:val="887"/>
    <w:pPr>
      <w:pBdr/>
      <w:spacing w:after="160" w:before="0" w:line="240" w:lineRule="exact"/>
      <w:ind/>
      <w:jc w:val="both"/>
    </w:pPr>
    <w:rPr>
      <w:rFonts w:ascii="Verdana" w:hAnsi="Verdana" w:cs="Verdana"/>
      <w:lang w:val="en-US"/>
    </w:rPr>
  </w:style>
  <w:style w:type="paragraph" w:styleId="901">
    <w:name w:val="Содержимое таблицы"/>
    <w:basedOn w:val="887"/>
    <w:next w:val="901"/>
    <w:pPr>
      <w:widowControl w:val="false"/>
      <w:suppressLineNumbers w:val="true"/>
      <w:pBdr/>
      <w:spacing/>
      <w:ind/>
    </w:pPr>
  </w:style>
  <w:style w:type="paragraph" w:styleId="902">
    <w:name w:val="Заголовок таблицы"/>
    <w:basedOn w:val="901"/>
    <w:next w:val="902"/>
    <w:link w:val="887"/>
    <w:pPr>
      <w:suppressLineNumbers w:val="true"/>
      <w:pBdr/>
      <w:spacing/>
      <w:ind/>
      <w:jc w:val="center"/>
    </w:pPr>
    <w:rPr>
      <w:b/>
      <w:bCs/>
    </w:rPr>
  </w:style>
  <w:style w:type="paragraph" w:styleId="903" w:customStyle="1">
    <w:name w:val="Body Text 24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Главному редактору</dc:title>
  <dc:creator>kandiranda</dc:creator>
  <cp:revision>365</cp:revision>
  <dcterms:created xsi:type="dcterms:W3CDTF">2014-03-28T08:32:00Z</dcterms:created>
  <dcterms:modified xsi:type="dcterms:W3CDTF">2025-09-17T07:23:17Z</dcterms:modified>
</cp:coreProperties>
</file>